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96FCE" w14:textId="505E43C4" w:rsidR="0057696A" w:rsidRDefault="0057696A" w:rsidP="0057696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Pr>
          <w:rFonts w:ascii="Arial" w:hAnsi="Arial" w:cs="Arial"/>
          <w:b/>
          <w:sz w:val="24"/>
          <w:lang w:val="en-US"/>
        </w:rPr>
        <w:t>90</w:t>
      </w:r>
      <w:r w:rsidRPr="00AA435B">
        <w:rPr>
          <w:rFonts w:ascii="Arial" w:hAnsi="Arial" w:cs="Arial"/>
          <w:b/>
          <w:sz w:val="24"/>
          <w:lang w:val="en-US"/>
        </w:rPr>
        <w:t>-e</w:t>
      </w:r>
      <w:r>
        <w:rPr>
          <w:rFonts w:ascii="Arial" w:hAnsi="Arial" w:cs="Arial"/>
          <w:b/>
          <w:sz w:val="24"/>
          <w:lang w:val="en-US"/>
        </w:rPr>
        <w:tab/>
      </w:r>
      <w:r w:rsidR="000C3E4E" w:rsidRPr="000C3E4E">
        <w:rPr>
          <w:rFonts w:ascii="Arial" w:hAnsi="Arial" w:cs="Arial"/>
          <w:b/>
          <w:sz w:val="24"/>
          <w:lang w:val="en-US"/>
        </w:rPr>
        <w:t>R5-211184</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Pr>
          <w:rFonts w:ascii="Arial" w:hAnsi="Arial" w:cs="Arial"/>
          <w:b/>
          <w:sz w:val="24"/>
        </w:rPr>
        <w:t>22 February – 5 March 2021</w:t>
      </w:r>
      <w:bookmarkEnd w:id="3"/>
    </w:p>
    <w:p w14:paraId="79932945" w14:textId="77777777" w:rsidR="0057696A" w:rsidRPr="00354167" w:rsidRDefault="0057696A" w:rsidP="0057696A">
      <w:pPr>
        <w:rPr>
          <w:rFonts w:ascii="Arial" w:hAnsi="Arial" w:cs="Arial"/>
          <w:b/>
          <w:sz w:val="24"/>
          <w:szCs w:val="24"/>
        </w:rPr>
      </w:pPr>
    </w:p>
    <w:p w14:paraId="35952388" w14:textId="2234A1D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864B1" w:rsidRPr="008864B1">
        <w:rPr>
          <w:rFonts w:ascii="Arial" w:hAnsi="Arial" w:cs="Arial"/>
          <w:sz w:val="24"/>
          <w:szCs w:val="24"/>
        </w:rPr>
        <w:t>5.3.2.17</w:t>
      </w:r>
    </w:p>
    <w:p w14:paraId="35952389" w14:textId="400FB15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r w:rsidR="0057696A">
        <w:rPr>
          <w:rFonts w:ascii="Arial" w:hAnsi="Arial" w:cs="Arial"/>
          <w:sz w:val="24"/>
          <w:szCs w:val="24"/>
        </w:rPr>
        <w:t>, Rohde &amp; Schwarz</w:t>
      </w:r>
    </w:p>
    <w:p w14:paraId="3595238A" w14:textId="66512A6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57696A" w:rsidRPr="0057696A">
        <w:rPr>
          <w:rFonts w:ascii="Arial" w:hAnsi="Arial" w:cs="Arial"/>
          <w:sz w:val="24"/>
          <w:szCs w:val="24"/>
        </w:rPr>
        <w:t>On ETC MUs</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5900EA23" w14:textId="1278FFE8" w:rsidR="00E00445" w:rsidRDefault="00D7328C" w:rsidP="000606FD">
      <w:pPr>
        <w:ind w:left="48"/>
        <w:rPr>
          <w:rFonts w:eastAsia="Batang"/>
        </w:rPr>
      </w:pPr>
      <w:r>
        <w:rPr>
          <w:rFonts w:eastAsia="Batang"/>
        </w:rPr>
        <w:t xml:space="preserve">This contribution is </w:t>
      </w:r>
      <w:r w:rsidR="0057696A">
        <w:rPr>
          <w:rFonts w:eastAsia="Batang"/>
        </w:rPr>
        <w:t>revisiting preliminary agreements made on ETC MUs in the last meeting</w:t>
      </w:r>
      <w:r w:rsidR="00061ECA">
        <w:t>.</w:t>
      </w:r>
    </w:p>
    <w:p w14:paraId="3595238E" w14:textId="77777777" w:rsidR="0053435C" w:rsidRDefault="00AF0F4C" w:rsidP="0053435C">
      <w:pPr>
        <w:pStyle w:val="Heading1"/>
        <w:ind w:left="567" w:hanging="567"/>
      </w:pPr>
      <w:r>
        <w:t>Discussion</w:t>
      </w:r>
    </w:p>
    <w:p w14:paraId="1EB68986" w14:textId="433C3154" w:rsidR="00CD64EF" w:rsidRDefault="0057696A" w:rsidP="00CD64EF">
      <w:bookmarkStart w:id="4" w:name="_Hlk47417840"/>
      <w:r>
        <w:t xml:space="preserve">During RAN5#89-e, QoQZ results were presented which were used to define a </w:t>
      </w:r>
      <w:r w:rsidRPr="0057696A">
        <w:t>MU element (systematic error) related to ETC testing of EIRP/EIS</w:t>
      </w:r>
      <w:r>
        <w:t xml:space="preserve">. </w:t>
      </w:r>
      <w:r w:rsidR="00CD64EF">
        <w:rPr>
          <w:lang w:eastAsia="ja-JP"/>
        </w:rPr>
        <w:t xml:space="preserve">The MU term </w:t>
      </w:r>
      <w:r w:rsidR="00CD64EF">
        <w:t>“</w:t>
      </w:r>
      <w:r w:rsidR="00CD64EF" w:rsidRPr="00D654D6">
        <w:rPr>
          <w:lang w:eastAsia="ja-JP"/>
        </w:rPr>
        <w:t>Influence of ETC on EIRP/EIS</w:t>
      </w:r>
      <w:r w:rsidR="00CD64EF">
        <w:rPr>
          <w:lang w:eastAsia="ja-JP"/>
        </w:rPr>
        <w:t>” is described in TR 38.903 [2] as follows:</w:t>
      </w:r>
    </w:p>
    <w:tbl>
      <w:tblPr>
        <w:tblStyle w:val="TableGrid"/>
        <w:tblW w:w="0" w:type="auto"/>
        <w:tblLook w:val="04A0" w:firstRow="1" w:lastRow="0" w:firstColumn="1" w:lastColumn="0" w:noHBand="0" w:noVBand="1"/>
      </w:tblPr>
      <w:tblGrid>
        <w:gridCol w:w="9631"/>
      </w:tblGrid>
      <w:tr w:rsidR="0039156F" w14:paraId="0D589B40" w14:textId="77777777" w:rsidTr="0039156F">
        <w:tc>
          <w:tcPr>
            <w:tcW w:w="9631" w:type="dxa"/>
          </w:tcPr>
          <w:p w14:paraId="1B489BC0" w14:textId="77777777" w:rsidR="0039156F" w:rsidRPr="0039156F" w:rsidRDefault="0039156F" w:rsidP="0039156F">
            <w:pPr>
              <w:keepNext/>
              <w:keepLines/>
              <w:shd w:val="clear" w:color="auto" w:fill="E7E6E6" w:themeFill="background2"/>
              <w:overflowPunct w:val="0"/>
              <w:autoSpaceDE w:val="0"/>
              <w:autoSpaceDN w:val="0"/>
              <w:adjustRightInd w:val="0"/>
              <w:spacing w:before="120"/>
              <w:textAlignment w:val="baseline"/>
              <w:outlineLvl w:val="2"/>
              <w:rPr>
                <w:rFonts w:eastAsia="Times New Roman"/>
                <w:sz w:val="28"/>
                <w:lang w:eastAsia="ja-JP"/>
              </w:rPr>
            </w:pPr>
            <w:r w:rsidRPr="0039156F">
              <w:rPr>
                <w:rFonts w:eastAsia="Times New Roman"/>
                <w:sz w:val="28"/>
                <w:lang w:eastAsia="en-GB"/>
              </w:rPr>
              <w:t>B.2.1.3</w:t>
            </w:r>
            <w:r w:rsidRPr="0039156F">
              <w:rPr>
                <w:rFonts w:eastAsia="Times New Roman"/>
                <w:sz w:val="28"/>
                <w:lang w:eastAsia="ja-JP"/>
              </w:rPr>
              <w:t>4</w:t>
            </w:r>
            <w:r w:rsidRPr="0039156F">
              <w:rPr>
                <w:rFonts w:eastAsia="Times New Roman"/>
                <w:sz w:val="28"/>
                <w:lang w:eastAsia="ja-JP"/>
              </w:rPr>
              <w:tab/>
              <w:t>Influence of ETC on EIRP/EIS</w:t>
            </w:r>
          </w:p>
          <w:p w14:paraId="2B26DF7D" w14:textId="53AA5C83" w:rsidR="0039156F" w:rsidRPr="0039156F" w:rsidRDefault="0039156F" w:rsidP="0039156F">
            <w:pPr>
              <w:shd w:val="clear" w:color="auto" w:fill="E7E6E6" w:themeFill="background2"/>
              <w:overflowPunct w:val="0"/>
              <w:autoSpaceDE w:val="0"/>
              <w:autoSpaceDN w:val="0"/>
              <w:adjustRightInd w:val="0"/>
              <w:textAlignment w:val="baseline"/>
              <w:rPr>
                <w:rFonts w:eastAsia="Times New Roman"/>
                <w:lang w:eastAsia="en-GB"/>
              </w:rPr>
            </w:pPr>
            <w:r w:rsidRPr="0039156F">
              <w:rPr>
                <w:rFonts w:eastAsia="Times New Roman"/>
              </w:rPr>
              <w:t xml:space="preserve">This systematic error contributor describes the uncertainty of EIRP/EIS measurements with the ETC enclosure surrounding the DUT, e.g., due to lensing or diffraction effects of the enclosure. </w:t>
            </w:r>
            <w:r w:rsidRPr="0039156F">
              <w:rPr>
                <w:rFonts w:eastAsia="Times New Roman"/>
                <w:lang w:eastAsia="en-GB"/>
              </w:rPr>
              <w:t>This term is assessed by using the absolute difference of EIRP means captured during the Quality of Quiet Zone validation in NTC environment and the EIRP means captured during the Quality of Quiet Zone validation in ETC environment. For NTC validation, the NTC path loss calibration, i.e., the path loss without the ETC enclosure, is applied while for the ETC validation, a path loss calibration is performed with the ETC enclosure surrounding the calibration antenna. Alternate approaches to further improve or completely compensate this systematic error are FFS.</w:t>
            </w:r>
          </w:p>
        </w:tc>
      </w:tr>
    </w:tbl>
    <w:p w14:paraId="46723602" w14:textId="5136988B" w:rsidR="00CD64EF" w:rsidRDefault="00CD64EF" w:rsidP="00CD64EF">
      <w:pPr>
        <w:jc w:val="both"/>
      </w:pPr>
      <w:proofErr w:type="gramStart"/>
      <w:r>
        <w:t>However</w:t>
      </w:r>
      <w:proofErr w:type="gramEnd"/>
      <w:r>
        <w:t xml:space="preserve"> upon further checking of this new MU term, it was found that this new term overlaps with the definition of the MU term for Quality of the Quiet Zone:</w:t>
      </w:r>
    </w:p>
    <w:tbl>
      <w:tblPr>
        <w:tblStyle w:val="TableGrid"/>
        <w:tblW w:w="0" w:type="auto"/>
        <w:tblLook w:val="04A0" w:firstRow="1" w:lastRow="0" w:firstColumn="1" w:lastColumn="0" w:noHBand="0" w:noVBand="1"/>
      </w:tblPr>
      <w:tblGrid>
        <w:gridCol w:w="9631"/>
      </w:tblGrid>
      <w:tr w:rsidR="0039156F" w14:paraId="646F9B46" w14:textId="77777777" w:rsidTr="0039156F">
        <w:tc>
          <w:tcPr>
            <w:tcW w:w="9631" w:type="dxa"/>
          </w:tcPr>
          <w:p w14:paraId="28A4AF90" w14:textId="77777777" w:rsidR="0039156F" w:rsidRPr="00970DDC" w:rsidRDefault="0039156F" w:rsidP="0039156F">
            <w:pPr>
              <w:keepNext/>
              <w:keepLines/>
              <w:shd w:val="clear" w:color="auto" w:fill="E7E6E6" w:themeFill="background2"/>
              <w:overflowPunct w:val="0"/>
              <w:autoSpaceDE w:val="0"/>
              <w:autoSpaceDN w:val="0"/>
              <w:adjustRightInd w:val="0"/>
              <w:spacing w:before="120"/>
              <w:textAlignment w:val="baseline"/>
              <w:outlineLvl w:val="2"/>
              <w:rPr>
                <w:rFonts w:eastAsia="Times New Roman"/>
                <w:sz w:val="28"/>
                <w:lang w:eastAsia="ja-JP"/>
              </w:rPr>
            </w:pPr>
            <w:bookmarkStart w:id="5" w:name="_Toc21004756"/>
            <w:bookmarkStart w:id="6" w:name="_Toc36041529"/>
            <w:bookmarkStart w:id="7" w:name="_Toc36548753"/>
            <w:bookmarkStart w:id="8" w:name="_Toc43901228"/>
            <w:bookmarkStart w:id="9" w:name="_Toc52371960"/>
            <w:bookmarkStart w:id="10" w:name="_Toc58253417"/>
            <w:r w:rsidRPr="00970DDC">
              <w:rPr>
                <w:rFonts w:eastAsia="Times New Roman"/>
                <w:sz w:val="28"/>
                <w:lang w:eastAsia="ja-JP"/>
              </w:rPr>
              <w:t>B.2.1.3</w:t>
            </w:r>
            <w:r w:rsidRPr="00970DDC">
              <w:rPr>
                <w:rFonts w:eastAsia="Times New Roman"/>
                <w:sz w:val="28"/>
                <w:lang w:eastAsia="ja-JP"/>
              </w:rPr>
              <w:tab/>
              <w:t>Quality of quiet zone</w:t>
            </w:r>
            <w:bookmarkEnd w:id="5"/>
            <w:bookmarkEnd w:id="6"/>
            <w:bookmarkEnd w:id="7"/>
            <w:bookmarkEnd w:id="8"/>
            <w:bookmarkEnd w:id="9"/>
            <w:bookmarkEnd w:id="10"/>
          </w:p>
          <w:p w14:paraId="7D3B3BBC" w14:textId="26AE21CA" w:rsidR="0039156F" w:rsidRPr="0039156F" w:rsidRDefault="0039156F" w:rsidP="0039156F">
            <w:pPr>
              <w:shd w:val="clear" w:color="auto" w:fill="E7E6E6" w:themeFill="background2"/>
              <w:overflowPunct w:val="0"/>
              <w:autoSpaceDE w:val="0"/>
              <w:autoSpaceDN w:val="0"/>
              <w:adjustRightInd w:val="0"/>
              <w:textAlignment w:val="baseline"/>
              <w:rPr>
                <w:rFonts w:eastAsia="Times New Roman"/>
              </w:rPr>
            </w:pPr>
            <w:r w:rsidRPr="00970DDC">
              <w:rPr>
                <w:rFonts w:eastAsia="Times New Roman"/>
              </w:rPr>
              <w:t xml:space="preserve">The quality of the quiet zone procedure characterizes the quiet zone performance of the anechoic chamber, specifically the effect of reflections within the anechoic chamber including any positioners and support structures. The MU term additionally includes the amplitude variations effect of offsetting the directive antenna array inside a DUT from the centre of the quiet zone as well as the directivity MU, i.e., the variation of antenna gains in the different direct line-of-sight links. An additional MU term related to phase variation and phase ripple effects which depends on measurement distance is </w:t>
            </w:r>
            <w:proofErr w:type="gramStart"/>
            <w:r w:rsidRPr="00970DDC">
              <w:rPr>
                <w:rFonts w:eastAsia="Times New Roman"/>
              </w:rPr>
              <w:t>FFS,</w:t>
            </w:r>
            <w:r w:rsidRPr="00970DDC">
              <w:rPr>
                <w:rFonts w:eastAsia="Times New Roman"/>
                <w:lang w:eastAsia="en-GB"/>
              </w:rPr>
              <w:t xml:space="preserve"> and</w:t>
            </w:r>
            <w:proofErr w:type="gramEnd"/>
            <w:r w:rsidRPr="00970DDC">
              <w:rPr>
                <w:rFonts w:eastAsia="Times New Roman"/>
                <w:lang w:eastAsia="en-GB"/>
              </w:rPr>
              <w:t xml:space="preserve"> shall be assessed during final MU definition for the test method.</w:t>
            </w:r>
            <w:r w:rsidRPr="00970DDC">
              <w:rPr>
                <w:rFonts w:eastAsia="Times New Roman"/>
              </w:rPr>
              <w:t xml:space="preserve"> This might require an augmentation of the quality of the quiet zone validation procedure.</w:t>
            </w:r>
          </w:p>
        </w:tc>
      </w:tr>
    </w:tbl>
    <w:p w14:paraId="0D8B2C2C" w14:textId="77777777" w:rsidR="00CD64EF" w:rsidRDefault="00CD64EF" w:rsidP="00CD64EF">
      <w:pPr>
        <w:jc w:val="both"/>
      </w:pPr>
      <w:r>
        <w:t>As can be seen in the definition of the QoQZ, the term characterizes the performance of the anechoic chamber including the positioner and any support structure necessary, like in the case of ETC measurements, the ETC enclosure.</w:t>
      </w:r>
    </w:p>
    <w:p w14:paraId="2F2A4D88" w14:textId="6A596920" w:rsidR="00CD64EF" w:rsidRDefault="00CD64EF" w:rsidP="00CD64EF">
      <w:pPr>
        <w:jc w:val="both"/>
        <w:rPr>
          <w:lang w:eastAsia="ja-JP"/>
        </w:rPr>
      </w:pPr>
      <w:r>
        <w:t>Therefore</w:t>
      </w:r>
      <w:r w:rsidR="00AF5368">
        <w:t>,</w:t>
      </w:r>
      <w:r>
        <w:t xml:space="preserve"> adding the new MU term “</w:t>
      </w:r>
      <w:r w:rsidRPr="00D654D6">
        <w:rPr>
          <w:lang w:eastAsia="ja-JP"/>
        </w:rPr>
        <w:t>Influence of ETC on EIRP/EIS</w:t>
      </w:r>
      <w:r>
        <w:rPr>
          <w:lang w:eastAsia="ja-JP"/>
        </w:rPr>
        <w:t>” to the MU table basically double counts these effects from the anechoic chamber and unnecessarily increases the MU budget for ETC testing.</w:t>
      </w:r>
    </w:p>
    <w:p w14:paraId="04ED2111" w14:textId="51F8F2A9" w:rsidR="00CD64EF" w:rsidRDefault="0020151B" w:rsidP="00CD64EF">
      <w:pPr>
        <w:jc w:val="both"/>
      </w:pPr>
      <w:r>
        <w:t>It is</w:t>
      </w:r>
      <w:r w:rsidR="00CD64EF">
        <w:t xml:space="preserve"> also stated in the description for B.2.1.34,</w:t>
      </w:r>
      <w:r>
        <w:t xml:space="preserve"> that</w:t>
      </w:r>
      <w:r w:rsidR="00CD64EF">
        <w:t xml:space="preserve"> the path loss calibration needs to be performed separately for NTC and ETC test conditions (e.g. with and without the ETC enclosure), thus differences in path loss between the two scenarios are also accounted for during system calibration and do not need a specific MU term to be considered in the MU budget.</w:t>
      </w:r>
    </w:p>
    <w:p w14:paraId="48252231" w14:textId="1E95A935" w:rsidR="006045E6" w:rsidRDefault="0057696A" w:rsidP="00E03F11">
      <w:r>
        <w:t>Offline discussions between the co-sourcing companies were held to discuss various way forwards; eventually, it was concluded that the MU element ‘</w:t>
      </w:r>
      <w:r w:rsidRPr="0057696A">
        <w:t>Influence of ETC on EIRP/EIS</w:t>
      </w:r>
      <w:r>
        <w:t xml:space="preserve">’ defined in 38.903 </w:t>
      </w:r>
      <w:r w:rsidR="006045E6">
        <w:fldChar w:fldCharType="begin"/>
      </w:r>
      <w:r w:rsidR="006045E6">
        <w:instrText xml:space="preserve"> REF _Ref63263631 \w \h </w:instrText>
      </w:r>
      <w:r w:rsidR="006045E6">
        <w:fldChar w:fldCharType="separate"/>
      </w:r>
      <w:r w:rsidR="006045E6">
        <w:t>[2]</w:t>
      </w:r>
      <w:r w:rsidR="006045E6">
        <w:fldChar w:fldCharType="end"/>
      </w:r>
      <w:r w:rsidR="006045E6">
        <w:t xml:space="preserve"> </w:t>
      </w:r>
      <w:r>
        <w:t>is not necessary</w:t>
      </w:r>
      <w:r w:rsidR="006045E6">
        <w:t xml:space="preserve"> as each QoQZ </w:t>
      </w:r>
      <w:r w:rsidR="006045E6">
        <w:lastRenderedPageBreak/>
        <w:t>campaign is independent from each other and as the effects of the ETC enclosure are effectively calibrated out</w:t>
      </w:r>
      <w:r w:rsidR="00CF0C66">
        <w:t xml:space="preserve"> with a calibration that has the reference/calibration antenna surrounded by the ETC enclosure</w:t>
      </w:r>
      <w:r w:rsidR="006045E6">
        <w:t xml:space="preserve">. </w:t>
      </w:r>
    </w:p>
    <w:p w14:paraId="5D4FC630" w14:textId="48D32E66" w:rsidR="006045E6" w:rsidRDefault="006045E6" w:rsidP="00E03F11">
      <w:r>
        <w:t xml:space="preserve">It is therefore proposed to remove </w:t>
      </w:r>
      <w:bookmarkStart w:id="11" w:name="_Hlk63265318"/>
      <w:r>
        <w:t>the recently added MU</w:t>
      </w:r>
      <w:r w:rsidR="005A14CB">
        <w:t xml:space="preserve"> </w:t>
      </w:r>
      <w:r>
        <w:t>element from 38.903</w:t>
      </w:r>
      <w:bookmarkEnd w:id="11"/>
      <w:r>
        <w:t xml:space="preserve"> </w:t>
      </w:r>
      <w:r>
        <w:fldChar w:fldCharType="begin"/>
      </w:r>
      <w:r>
        <w:instrText xml:space="preserve"> REF _Ref63263631 \w \h </w:instrText>
      </w:r>
      <w:r>
        <w:fldChar w:fldCharType="separate"/>
      </w:r>
      <w:r>
        <w:t>[2]</w:t>
      </w:r>
      <w:r>
        <w:fldChar w:fldCharType="end"/>
      </w:r>
      <w:r>
        <w:t xml:space="preserve">. </w:t>
      </w:r>
    </w:p>
    <w:p w14:paraId="0011F0D0" w14:textId="604A6124" w:rsidR="006045E6" w:rsidRDefault="006045E6" w:rsidP="006045E6">
      <w:pPr>
        <w:pStyle w:val="Caption"/>
      </w:pPr>
      <w:bookmarkStart w:id="12" w:name="_Ref63268344"/>
      <w:r>
        <w:t xml:space="preserve">Proposal </w:t>
      </w:r>
      <w:r>
        <w:fldChar w:fldCharType="begin"/>
      </w:r>
      <w:r>
        <w:instrText xml:space="preserve"> SEQ Proposal \* ARABIC </w:instrText>
      </w:r>
      <w:r>
        <w:fldChar w:fldCharType="separate"/>
      </w:r>
      <w:r w:rsidR="009725DD">
        <w:rPr>
          <w:noProof/>
        </w:rPr>
        <w:t>1</w:t>
      </w:r>
      <w:r>
        <w:fldChar w:fldCharType="end"/>
      </w:r>
      <w:r>
        <w:t xml:space="preserve">: Remove the </w:t>
      </w:r>
      <w:r w:rsidR="005A14CB" w:rsidRPr="005A14CB">
        <w:t xml:space="preserve">recently added MU element </w:t>
      </w:r>
      <w:r w:rsidR="005A14CB">
        <w:t>‘</w:t>
      </w:r>
      <w:r w:rsidR="005A14CB" w:rsidRPr="005A14CB">
        <w:t>Influence of ETC on EIRP/EIS</w:t>
      </w:r>
      <w:r w:rsidR="005A14CB">
        <w:t xml:space="preserve">’ </w:t>
      </w:r>
      <w:r w:rsidR="005A14CB" w:rsidRPr="005A14CB">
        <w:t>from 38.903</w:t>
      </w:r>
      <w:bookmarkEnd w:id="12"/>
    </w:p>
    <w:p w14:paraId="6E5637E9" w14:textId="77777777" w:rsidR="002E0661" w:rsidRDefault="00EB3465" w:rsidP="00E03F11">
      <w:r>
        <w:t xml:space="preserve">As demonstrated in </w:t>
      </w:r>
      <w:r>
        <w:fldChar w:fldCharType="begin"/>
      </w:r>
      <w:r>
        <w:instrText xml:space="preserve"> REF _Ref63266442 \w \h </w:instrText>
      </w:r>
      <w:r>
        <w:fldChar w:fldCharType="separate"/>
      </w:r>
      <w:r>
        <w:t>[1]</w:t>
      </w:r>
      <w:r>
        <w:fldChar w:fldCharType="end"/>
      </w:r>
      <w:r>
        <w:fldChar w:fldCharType="begin"/>
      </w:r>
      <w:r>
        <w:instrText xml:space="preserve"> REF _Ref63266443 \w \h </w:instrText>
      </w:r>
      <w:r>
        <w:fldChar w:fldCharType="separate"/>
      </w:r>
      <w:r>
        <w:t>[4]</w:t>
      </w:r>
      <w:r>
        <w:fldChar w:fldCharType="end"/>
      </w:r>
      <w:r>
        <w:t xml:space="preserve">, the QoQZ </w:t>
      </w:r>
      <w:r w:rsidRPr="002E0661">
        <w:rPr>
          <w:u w:val="single"/>
        </w:rPr>
        <w:t>with</w:t>
      </w:r>
      <w:r>
        <w:t xml:space="preserve"> the ETC enclosure, MU</w:t>
      </w:r>
      <w:r w:rsidRPr="00EB3465">
        <w:rPr>
          <w:vertAlign w:val="subscript"/>
        </w:rPr>
        <w:t>QoQZ,ETC</w:t>
      </w:r>
      <w:r>
        <w:t xml:space="preserve"> is generally higher than </w:t>
      </w:r>
      <w:r w:rsidRPr="002E0661">
        <w:rPr>
          <w:u w:val="single"/>
        </w:rPr>
        <w:t>without</w:t>
      </w:r>
      <w:r>
        <w:t xml:space="preserve"> the ETC enclosure, MU</w:t>
      </w:r>
      <w:r w:rsidRPr="00EB3465">
        <w:rPr>
          <w:vertAlign w:val="subscript"/>
        </w:rPr>
        <w:t>QoQZ,</w:t>
      </w:r>
      <w:r>
        <w:rPr>
          <w:vertAlign w:val="subscript"/>
        </w:rPr>
        <w:t>N</w:t>
      </w:r>
      <w:r w:rsidRPr="00EB3465">
        <w:rPr>
          <w:vertAlign w:val="subscript"/>
        </w:rPr>
        <w:t>TC</w:t>
      </w:r>
      <w:r>
        <w:t xml:space="preserve">. </w:t>
      </w:r>
    </w:p>
    <w:p w14:paraId="66676C90" w14:textId="3D02D092" w:rsidR="002E0661" w:rsidRDefault="002E0661" w:rsidP="002E0661">
      <w:pPr>
        <w:pStyle w:val="Caption"/>
      </w:pPr>
      <w:bookmarkStart w:id="13" w:name="_Ref63268343"/>
      <w:r>
        <w:t xml:space="preserve">Observation </w:t>
      </w:r>
      <w:r>
        <w:fldChar w:fldCharType="begin"/>
      </w:r>
      <w:r>
        <w:instrText xml:space="preserve"> SEQ Observation \* ARABIC </w:instrText>
      </w:r>
      <w:r>
        <w:fldChar w:fldCharType="separate"/>
      </w:r>
      <w:r>
        <w:rPr>
          <w:noProof/>
        </w:rPr>
        <w:t>1</w:t>
      </w:r>
      <w:r>
        <w:fldChar w:fldCharType="end"/>
      </w:r>
      <w:r>
        <w:t>: The QoQZ with the ETC enclosure, MU</w:t>
      </w:r>
      <w:r w:rsidRPr="00EB3465">
        <w:rPr>
          <w:vertAlign w:val="subscript"/>
        </w:rPr>
        <w:t>QoQZ,ETC</w:t>
      </w:r>
      <w:r>
        <w:t xml:space="preserve"> is generally higher than without the ETC enclosure, MU</w:t>
      </w:r>
      <w:r w:rsidRPr="00EB3465">
        <w:rPr>
          <w:vertAlign w:val="subscript"/>
        </w:rPr>
        <w:t>QoQZ,</w:t>
      </w:r>
      <w:r>
        <w:rPr>
          <w:vertAlign w:val="subscript"/>
        </w:rPr>
        <w:t>N</w:t>
      </w:r>
      <w:r w:rsidRPr="00EB3465">
        <w:rPr>
          <w:vertAlign w:val="subscript"/>
        </w:rPr>
        <w:t>TC</w:t>
      </w:r>
      <w:r>
        <w:t>.</w:t>
      </w:r>
      <w:bookmarkEnd w:id="13"/>
    </w:p>
    <w:p w14:paraId="523FF9E4" w14:textId="7CABD06A" w:rsidR="00EB3465" w:rsidRDefault="00EB3465" w:rsidP="00E03F11">
      <w:r>
        <w:t>While testing under ETC requires the use of the ETC enclosure surrounding the DUT, testing under NTC can be performed two different ways:</w:t>
      </w:r>
    </w:p>
    <w:p w14:paraId="0FE1B8C2" w14:textId="6CC4230C" w:rsidR="00EB3465" w:rsidRDefault="00EB3465" w:rsidP="00EB3465">
      <w:pPr>
        <w:pStyle w:val="ListParagraph"/>
        <w:numPr>
          <w:ilvl w:val="1"/>
          <w:numId w:val="42"/>
        </w:numPr>
        <w:rPr>
          <w:rFonts w:ascii="Times New Roman" w:eastAsia="Malgun Gothic" w:hAnsi="Times New Roman"/>
          <w:sz w:val="20"/>
          <w:szCs w:val="20"/>
          <w:lang w:val="en-GB"/>
        </w:rPr>
      </w:pPr>
      <w:r w:rsidRPr="00EB3465">
        <w:rPr>
          <w:rFonts w:ascii="Times New Roman" w:eastAsia="Malgun Gothic" w:hAnsi="Times New Roman"/>
          <w:sz w:val="20"/>
          <w:szCs w:val="20"/>
          <w:lang w:val="en-GB"/>
        </w:rPr>
        <w:t>Use of the ETC enclosure surrounding the DUT while keeping the environmental temperature</w:t>
      </w:r>
      <w:r>
        <w:rPr>
          <w:rFonts w:ascii="Times New Roman" w:eastAsia="Malgun Gothic" w:hAnsi="Times New Roman"/>
          <w:sz w:val="20"/>
          <w:szCs w:val="20"/>
          <w:lang w:val="en-GB"/>
        </w:rPr>
        <w:t xml:space="preserve"> at NTC</w:t>
      </w:r>
    </w:p>
    <w:p w14:paraId="3B817B9F" w14:textId="033D4FD1" w:rsidR="00EB3465" w:rsidRPr="00EB3465" w:rsidRDefault="00EB3465" w:rsidP="00EB3465">
      <w:pPr>
        <w:pStyle w:val="ListParagraph"/>
        <w:numPr>
          <w:ilvl w:val="1"/>
          <w:numId w:val="42"/>
        </w:numPr>
        <w:rPr>
          <w:rFonts w:ascii="Times New Roman" w:eastAsia="Malgun Gothic" w:hAnsi="Times New Roman"/>
          <w:sz w:val="20"/>
          <w:szCs w:val="20"/>
          <w:lang w:val="en-GB"/>
        </w:rPr>
      </w:pPr>
      <w:r>
        <w:rPr>
          <w:rFonts w:ascii="Times New Roman" w:eastAsia="Malgun Gothic" w:hAnsi="Times New Roman"/>
          <w:sz w:val="20"/>
          <w:szCs w:val="20"/>
          <w:lang w:val="en-GB"/>
        </w:rPr>
        <w:t>Removal of ETC enclosure within the OTA chamber</w:t>
      </w:r>
    </w:p>
    <w:p w14:paraId="103D7BDF" w14:textId="64DEC64E" w:rsidR="00EB3465" w:rsidRDefault="00EB3465" w:rsidP="00E03F11">
      <w:r>
        <w:t>The advantage of option a) is that conformance test cases that require both NTC and ETC could be performed back-to-back without the removal of the ETC enclosure.</w:t>
      </w:r>
      <w:r w:rsidR="002E0661">
        <w:t xml:space="preserve"> Additionally, this option would require just a single QoQZ evaluation, i.e., with the enclosure, and thus allow less down time before commissioning the system.</w:t>
      </w:r>
      <w:r>
        <w:t xml:space="preserve"> On the other hand, the </w:t>
      </w:r>
      <w:r w:rsidR="002E0661">
        <w:t>QoQZ MU with the ETC enclosure, MU</w:t>
      </w:r>
      <w:r w:rsidR="002E0661" w:rsidRPr="00EB3465">
        <w:rPr>
          <w:vertAlign w:val="subscript"/>
        </w:rPr>
        <w:t>QoQZ,ETC</w:t>
      </w:r>
      <w:r w:rsidR="002E0661" w:rsidRPr="002E0661">
        <w:t>, would</w:t>
      </w:r>
      <w:r w:rsidR="002E0661">
        <w:t xml:space="preserve"> have to be applied to the NTC test cases, i.e., the assessed MU of the system with the ETC enclosure needs to meet the MTSU for the NTC test cases, MTSU</w:t>
      </w:r>
      <w:r w:rsidR="002E0661" w:rsidRPr="002E0661">
        <w:rPr>
          <w:vertAlign w:val="subscript"/>
        </w:rPr>
        <w:t>NTC</w:t>
      </w:r>
      <w:r w:rsidR="002E0661">
        <w:t xml:space="preserve">, e.g., Table </w:t>
      </w:r>
      <w:r w:rsidR="002E0661" w:rsidRPr="002E0661">
        <w:t>B.3.2-2</w:t>
      </w:r>
      <w:r w:rsidR="002E0661">
        <w:t xml:space="preserve"> </w:t>
      </w:r>
      <w:r w:rsidR="00B20823">
        <w:fldChar w:fldCharType="begin"/>
      </w:r>
      <w:r w:rsidR="00B20823">
        <w:instrText xml:space="preserve"> REF _Ref63263631 \w \h </w:instrText>
      </w:r>
      <w:r w:rsidR="00B20823">
        <w:fldChar w:fldCharType="separate"/>
      </w:r>
      <w:r w:rsidR="00B20823">
        <w:t>[2]</w:t>
      </w:r>
      <w:r w:rsidR="00B20823">
        <w:fldChar w:fldCharType="end"/>
      </w:r>
      <w:r w:rsidR="00B20823">
        <w:t xml:space="preserve"> </w:t>
      </w:r>
      <w:r w:rsidR="002E0661">
        <w:t>for MOP-EIRP test cases under NTC. The advantage of option b) is that NTC test cases are tested with the lower</w:t>
      </w:r>
      <w:r w:rsidR="00B20823">
        <w:t xml:space="preserve"> QoQZ MU, </w:t>
      </w:r>
      <w:proofErr w:type="gramStart"/>
      <w:r w:rsidR="00B20823">
        <w:t>MU</w:t>
      </w:r>
      <w:r w:rsidR="00B20823" w:rsidRPr="00EB3465">
        <w:rPr>
          <w:vertAlign w:val="subscript"/>
        </w:rPr>
        <w:t>QoQZ,</w:t>
      </w:r>
      <w:r w:rsidR="00B20823">
        <w:rPr>
          <w:vertAlign w:val="subscript"/>
        </w:rPr>
        <w:t>N</w:t>
      </w:r>
      <w:r w:rsidR="00B20823" w:rsidRPr="00EB3465">
        <w:rPr>
          <w:vertAlign w:val="subscript"/>
        </w:rPr>
        <w:t>TC</w:t>
      </w:r>
      <w:proofErr w:type="gramEnd"/>
      <w:r w:rsidR="00B20823" w:rsidRPr="00B20823">
        <w:t xml:space="preserve">. </w:t>
      </w:r>
      <w:r w:rsidR="00B20823">
        <w:t xml:space="preserve">On the other hand, this approach would require occasional reconfiguration of the system and two separate QoQZ validations before commissioning the system. </w:t>
      </w:r>
    </w:p>
    <w:p w14:paraId="137AE629" w14:textId="62B06450" w:rsidR="00B20823" w:rsidRDefault="00B20823" w:rsidP="00E03F11">
      <w:r>
        <w:t xml:space="preserve">The various approaches and requirements are outlined in </w:t>
      </w:r>
      <w:r w:rsidR="009725DD">
        <w:fldChar w:fldCharType="begin"/>
      </w:r>
      <w:r w:rsidR="009725DD">
        <w:instrText xml:space="preserve"> REF _Ref63267803 \h </w:instrText>
      </w:r>
      <w:r w:rsidR="009725DD">
        <w:fldChar w:fldCharType="separate"/>
      </w:r>
      <w:r w:rsidR="009725DD">
        <w:t xml:space="preserve">Table </w:t>
      </w:r>
      <w:r w:rsidR="009725DD">
        <w:rPr>
          <w:noProof/>
        </w:rPr>
        <w:t>1</w:t>
      </w:r>
      <w:r w:rsidR="009725DD">
        <w:fldChar w:fldCharType="end"/>
      </w:r>
      <w:r w:rsidR="009725DD">
        <w:t>.</w:t>
      </w:r>
    </w:p>
    <w:p w14:paraId="23ACACCE" w14:textId="66B043E1" w:rsidR="00B20823" w:rsidRDefault="00B20823" w:rsidP="00B20823">
      <w:pPr>
        <w:pStyle w:val="Caption"/>
        <w:jc w:val="center"/>
      </w:pPr>
      <w:bookmarkStart w:id="14" w:name="_Ref63267803"/>
      <w:r>
        <w:t xml:space="preserve">Table </w:t>
      </w:r>
      <w:r>
        <w:fldChar w:fldCharType="begin"/>
      </w:r>
      <w:r>
        <w:instrText xml:space="preserve"> SEQ Table \* ARABIC </w:instrText>
      </w:r>
      <w:r>
        <w:fldChar w:fldCharType="separate"/>
      </w:r>
      <w:r>
        <w:rPr>
          <w:noProof/>
        </w:rPr>
        <w:t>1</w:t>
      </w:r>
      <w:r>
        <w:fldChar w:fldCharType="end"/>
      </w:r>
      <w:bookmarkEnd w:id="14"/>
      <w:r>
        <w:t>: Overview of ETC and NTC testing approaches</w:t>
      </w:r>
    </w:p>
    <w:tbl>
      <w:tblPr>
        <w:tblStyle w:val="TableGrid"/>
        <w:tblW w:w="9680" w:type="dxa"/>
        <w:tblLook w:val="04A0" w:firstRow="1" w:lastRow="0" w:firstColumn="1" w:lastColumn="0" w:noHBand="0" w:noVBand="1"/>
      </w:tblPr>
      <w:tblGrid>
        <w:gridCol w:w="1165"/>
        <w:gridCol w:w="1584"/>
        <w:gridCol w:w="1505"/>
        <w:gridCol w:w="1647"/>
        <w:gridCol w:w="2160"/>
        <w:gridCol w:w="1619"/>
      </w:tblGrid>
      <w:tr w:rsidR="00A9407A" w14:paraId="7E3BE761" w14:textId="77777777" w:rsidTr="00A9407A">
        <w:tc>
          <w:tcPr>
            <w:tcW w:w="1165" w:type="dxa"/>
            <w:vAlign w:val="center"/>
          </w:tcPr>
          <w:p w14:paraId="48C9F84D" w14:textId="5B6D2B2D" w:rsidR="00A9407A" w:rsidRPr="00B20823" w:rsidRDefault="00A9407A" w:rsidP="00B20823">
            <w:pPr>
              <w:jc w:val="center"/>
              <w:rPr>
                <w:b/>
                <w:bCs/>
              </w:rPr>
            </w:pPr>
            <w:r w:rsidRPr="00B20823">
              <w:rPr>
                <w:b/>
                <w:bCs/>
              </w:rPr>
              <w:t>Test Case</w:t>
            </w:r>
          </w:p>
        </w:tc>
        <w:tc>
          <w:tcPr>
            <w:tcW w:w="1584" w:type="dxa"/>
            <w:vAlign w:val="center"/>
          </w:tcPr>
          <w:p w14:paraId="074786C1" w14:textId="311E39A4" w:rsidR="00A9407A" w:rsidRPr="00B20823" w:rsidRDefault="00A9407A" w:rsidP="00B20823">
            <w:pPr>
              <w:jc w:val="center"/>
              <w:rPr>
                <w:b/>
                <w:bCs/>
              </w:rPr>
            </w:pPr>
            <w:r>
              <w:rPr>
                <w:b/>
                <w:bCs/>
              </w:rPr>
              <w:t>ETC Enclosure used for the test</w:t>
            </w:r>
          </w:p>
        </w:tc>
        <w:tc>
          <w:tcPr>
            <w:tcW w:w="1505" w:type="dxa"/>
          </w:tcPr>
          <w:p w14:paraId="3B86649C" w14:textId="7CE70DD4" w:rsidR="00A9407A" w:rsidRPr="00B20823" w:rsidRDefault="00A9407A" w:rsidP="00B20823">
            <w:pPr>
              <w:jc w:val="center"/>
              <w:rPr>
                <w:b/>
                <w:bCs/>
              </w:rPr>
            </w:pPr>
            <w:r>
              <w:rPr>
                <w:b/>
                <w:bCs/>
              </w:rPr>
              <w:t>Environmental Condition</w:t>
            </w:r>
          </w:p>
        </w:tc>
        <w:tc>
          <w:tcPr>
            <w:tcW w:w="1647" w:type="dxa"/>
            <w:vAlign w:val="center"/>
          </w:tcPr>
          <w:p w14:paraId="5E09595A" w14:textId="155D68B3" w:rsidR="00A9407A" w:rsidRPr="00B20823" w:rsidRDefault="00A9407A" w:rsidP="00B20823">
            <w:pPr>
              <w:jc w:val="center"/>
              <w:rPr>
                <w:b/>
                <w:bCs/>
              </w:rPr>
            </w:pPr>
            <w:r w:rsidRPr="00B20823">
              <w:rPr>
                <w:b/>
                <w:bCs/>
              </w:rPr>
              <w:t>QoQZ MU that needs to be applied to TC</w:t>
            </w:r>
          </w:p>
        </w:tc>
        <w:tc>
          <w:tcPr>
            <w:tcW w:w="2160" w:type="dxa"/>
            <w:vAlign w:val="center"/>
          </w:tcPr>
          <w:p w14:paraId="27B5B73A" w14:textId="67F40B44" w:rsidR="00A9407A" w:rsidRPr="00B20823" w:rsidRDefault="00A9407A" w:rsidP="00B20823">
            <w:pPr>
              <w:jc w:val="center"/>
              <w:rPr>
                <w:b/>
                <w:bCs/>
              </w:rPr>
            </w:pPr>
            <w:r w:rsidRPr="00B20823">
              <w:rPr>
                <w:b/>
                <w:bCs/>
              </w:rPr>
              <w:t>Calibration applied to Measurements</w:t>
            </w:r>
          </w:p>
        </w:tc>
        <w:tc>
          <w:tcPr>
            <w:tcW w:w="1619" w:type="dxa"/>
            <w:vAlign w:val="center"/>
          </w:tcPr>
          <w:p w14:paraId="0142E445" w14:textId="0DDF2FFA" w:rsidR="00A9407A" w:rsidRPr="00B20823" w:rsidRDefault="00A9407A" w:rsidP="00B20823">
            <w:pPr>
              <w:jc w:val="center"/>
              <w:rPr>
                <w:b/>
                <w:bCs/>
              </w:rPr>
            </w:pPr>
            <w:r w:rsidRPr="00B20823">
              <w:rPr>
                <w:b/>
                <w:bCs/>
              </w:rPr>
              <w:t>MTSU test system needs to meet</w:t>
            </w:r>
          </w:p>
        </w:tc>
      </w:tr>
      <w:tr w:rsidR="00A9407A" w14:paraId="3F05D4DF" w14:textId="77777777" w:rsidTr="00A9407A">
        <w:tc>
          <w:tcPr>
            <w:tcW w:w="1165" w:type="dxa"/>
            <w:vAlign w:val="center"/>
          </w:tcPr>
          <w:p w14:paraId="5B287CE8" w14:textId="165A8A80" w:rsidR="00A9407A" w:rsidRDefault="00A9407A" w:rsidP="00A9407A">
            <w:pPr>
              <w:jc w:val="center"/>
            </w:pPr>
            <w:r>
              <w:t>NTC</w:t>
            </w:r>
          </w:p>
        </w:tc>
        <w:tc>
          <w:tcPr>
            <w:tcW w:w="1584" w:type="dxa"/>
            <w:vAlign w:val="center"/>
          </w:tcPr>
          <w:p w14:paraId="3B4CC1A6" w14:textId="2C0E9503" w:rsidR="00A9407A" w:rsidRDefault="00A9407A" w:rsidP="00A9407A">
            <w:pPr>
              <w:jc w:val="center"/>
            </w:pPr>
            <w:r>
              <w:t>no</w:t>
            </w:r>
          </w:p>
        </w:tc>
        <w:tc>
          <w:tcPr>
            <w:tcW w:w="1505" w:type="dxa"/>
            <w:vAlign w:val="center"/>
          </w:tcPr>
          <w:p w14:paraId="1102048D" w14:textId="0A2F8404" w:rsidR="00A9407A" w:rsidRDefault="00A9407A" w:rsidP="00A9407A">
            <w:pPr>
              <w:jc w:val="center"/>
            </w:pPr>
            <w:r>
              <w:t>Normal temperature</w:t>
            </w:r>
          </w:p>
        </w:tc>
        <w:tc>
          <w:tcPr>
            <w:tcW w:w="1647" w:type="dxa"/>
            <w:vAlign w:val="center"/>
          </w:tcPr>
          <w:p w14:paraId="0AADD054" w14:textId="26EA9926" w:rsidR="00A9407A" w:rsidRDefault="00A9407A" w:rsidP="00A9407A">
            <w:pPr>
              <w:jc w:val="center"/>
            </w:pPr>
            <w:proofErr w:type="gramStart"/>
            <w:r>
              <w:t>MU</w:t>
            </w:r>
            <w:r w:rsidRPr="00B20823">
              <w:rPr>
                <w:vertAlign w:val="subscript"/>
              </w:rPr>
              <w:t>QoQZ,NTC</w:t>
            </w:r>
            <w:proofErr w:type="gramEnd"/>
          </w:p>
        </w:tc>
        <w:tc>
          <w:tcPr>
            <w:tcW w:w="2160" w:type="dxa"/>
            <w:vAlign w:val="center"/>
          </w:tcPr>
          <w:p w14:paraId="491DE3E2" w14:textId="7C094218" w:rsidR="00A9407A" w:rsidRDefault="00A9407A" w:rsidP="00A9407A">
            <w:pPr>
              <w:jc w:val="center"/>
            </w:pPr>
            <w:r>
              <w:t>NTC Cal, i.e., path loss is assessed without ETC enclosure</w:t>
            </w:r>
          </w:p>
        </w:tc>
        <w:tc>
          <w:tcPr>
            <w:tcW w:w="1619" w:type="dxa"/>
            <w:vAlign w:val="center"/>
          </w:tcPr>
          <w:p w14:paraId="1ABC25E0" w14:textId="65A0573D" w:rsidR="00A9407A" w:rsidRDefault="00A9407A" w:rsidP="00A9407A">
            <w:pPr>
              <w:jc w:val="center"/>
            </w:pPr>
            <w:r>
              <w:t>MTSU</w:t>
            </w:r>
            <w:r w:rsidRPr="00B20823">
              <w:rPr>
                <w:vertAlign w:val="subscript"/>
              </w:rPr>
              <w:t>NTC</w:t>
            </w:r>
            <w:r>
              <w:t xml:space="preserve">, e.g., Table </w:t>
            </w:r>
            <w:r w:rsidRPr="002E0661">
              <w:t>B.3.2-2</w:t>
            </w:r>
            <w:r>
              <w:t xml:space="preserve"> </w:t>
            </w:r>
            <w:r>
              <w:fldChar w:fldCharType="begin"/>
            </w:r>
            <w:r>
              <w:instrText xml:space="preserve"> REF _Ref63263631 \w \h  \* MERGEFORMAT </w:instrText>
            </w:r>
            <w:r>
              <w:fldChar w:fldCharType="separate"/>
            </w:r>
            <w:r>
              <w:t>[2]</w:t>
            </w:r>
            <w:r>
              <w:fldChar w:fldCharType="end"/>
            </w:r>
            <w:r>
              <w:t xml:space="preserve"> for MOP-EIRP</w:t>
            </w:r>
          </w:p>
        </w:tc>
      </w:tr>
      <w:tr w:rsidR="00A9407A" w14:paraId="34F68A5A" w14:textId="77777777" w:rsidTr="00A9407A">
        <w:tc>
          <w:tcPr>
            <w:tcW w:w="1165" w:type="dxa"/>
            <w:vAlign w:val="center"/>
          </w:tcPr>
          <w:p w14:paraId="5DC44853" w14:textId="49E6E5BA" w:rsidR="00A9407A" w:rsidRDefault="00A9407A" w:rsidP="00A9407A">
            <w:pPr>
              <w:jc w:val="center"/>
            </w:pPr>
            <w:r>
              <w:t>NTC</w:t>
            </w:r>
          </w:p>
        </w:tc>
        <w:tc>
          <w:tcPr>
            <w:tcW w:w="1584" w:type="dxa"/>
            <w:vAlign w:val="center"/>
          </w:tcPr>
          <w:p w14:paraId="4E1785C6" w14:textId="5A17C2B9" w:rsidR="00A9407A" w:rsidRDefault="00A9407A" w:rsidP="00A9407A">
            <w:pPr>
              <w:jc w:val="center"/>
            </w:pPr>
            <w:r>
              <w:t>yes</w:t>
            </w:r>
          </w:p>
        </w:tc>
        <w:tc>
          <w:tcPr>
            <w:tcW w:w="1505" w:type="dxa"/>
            <w:vAlign w:val="center"/>
          </w:tcPr>
          <w:p w14:paraId="41F9F432" w14:textId="5BE83C95" w:rsidR="00A9407A" w:rsidRDefault="00A9407A" w:rsidP="00A9407A">
            <w:pPr>
              <w:jc w:val="center"/>
            </w:pPr>
            <w:r>
              <w:t>Normal temperature</w:t>
            </w:r>
          </w:p>
        </w:tc>
        <w:tc>
          <w:tcPr>
            <w:tcW w:w="1647" w:type="dxa"/>
            <w:vAlign w:val="center"/>
          </w:tcPr>
          <w:p w14:paraId="7773CCCD" w14:textId="4326C901" w:rsidR="00A9407A" w:rsidRDefault="00A9407A" w:rsidP="00A9407A">
            <w:pPr>
              <w:jc w:val="center"/>
            </w:pPr>
            <w:proofErr w:type="gramStart"/>
            <w:r>
              <w:t>MU</w:t>
            </w:r>
            <w:r w:rsidRPr="00B20823">
              <w:rPr>
                <w:vertAlign w:val="subscript"/>
              </w:rPr>
              <w:t>QoQZ,</w:t>
            </w:r>
            <w:r>
              <w:rPr>
                <w:vertAlign w:val="subscript"/>
              </w:rPr>
              <w:t>E</w:t>
            </w:r>
            <w:r w:rsidRPr="00B20823">
              <w:rPr>
                <w:vertAlign w:val="subscript"/>
              </w:rPr>
              <w:t>TC</w:t>
            </w:r>
            <w:proofErr w:type="gramEnd"/>
          </w:p>
        </w:tc>
        <w:tc>
          <w:tcPr>
            <w:tcW w:w="2160" w:type="dxa"/>
            <w:vAlign w:val="center"/>
          </w:tcPr>
          <w:p w14:paraId="3084C671" w14:textId="5A1DFFAA" w:rsidR="00A9407A" w:rsidRDefault="00A9407A" w:rsidP="00A9407A">
            <w:pPr>
              <w:jc w:val="center"/>
            </w:pPr>
            <w:r>
              <w:t>ETC Cal, i.e., path loss is assessed with ETC enclosure</w:t>
            </w:r>
          </w:p>
        </w:tc>
        <w:tc>
          <w:tcPr>
            <w:tcW w:w="1619" w:type="dxa"/>
            <w:vAlign w:val="center"/>
          </w:tcPr>
          <w:p w14:paraId="70BD9B2A" w14:textId="5C2D13A4" w:rsidR="00A9407A" w:rsidRDefault="00A9407A" w:rsidP="00A9407A">
            <w:pPr>
              <w:jc w:val="center"/>
            </w:pPr>
            <w:r>
              <w:t>MTSU</w:t>
            </w:r>
            <w:r w:rsidRPr="00B20823">
              <w:rPr>
                <w:vertAlign w:val="subscript"/>
              </w:rPr>
              <w:t>NTC</w:t>
            </w:r>
            <w:r>
              <w:t xml:space="preserve">, e.g., Table </w:t>
            </w:r>
            <w:r w:rsidRPr="002E0661">
              <w:t>B.3.2-</w:t>
            </w:r>
            <w:r>
              <w:t xml:space="preserve">2 </w:t>
            </w:r>
            <w:r>
              <w:fldChar w:fldCharType="begin"/>
            </w:r>
            <w:r>
              <w:instrText xml:space="preserve"> REF _Ref63263631 \w \h  \* MERGEFORMAT </w:instrText>
            </w:r>
            <w:r>
              <w:fldChar w:fldCharType="separate"/>
            </w:r>
            <w:r>
              <w:t>[2]</w:t>
            </w:r>
            <w:r>
              <w:fldChar w:fldCharType="end"/>
            </w:r>
            <w:r>
              <w:t xml:space="preserve"> for MOP-EIRP</w:t>
            </w:r>
          </w:p>
        </w:tc>
      </w:tr>
      <w:tr w:rsidR="00A9407A" w14:paraId="24E13CF8" w14:textId="77777777" w:rsidTr="00A9407A">
        <w:tc>
          <w:tcPr>
            <w:tcW w:w="1165" w:type="dxa"/>
            <w:vAlign w:val="center"/>
          </w:tcPr>
          <w:p w14:paraId="71266E57" w14:textId="08504714" w:rsidR="00A9407A" w:rsidRDefault="00A9407A" w:rsidP="00A9407A">
            <w:pPr>
              <w:jc w:val="center"/>
            </w:pPr>
            <w:r>
              <w:t>ETC</w:t>
            </w:r>
          </w:p>
        </w:tc>
        <w:tc>
          <w:tcPr>
            <w:tcW w:w="1584" w:type="dxa"/>
            <w:vAlign w:val="center"/>
          </w:tcPr>
          <w:p w14:paraId="6A640307" w14:textId="7F2D2909" w:rsidR="00A9407A" w:rsidRDefault="00A9407A" w:rsidP="00A9407A">
            <w:pPr>
              <w:jc w:val="center"/>
            </w:pPr>
            <w:r>
              <w:t>yes</w:t>
            </w:r>
          </w:p>
        </w:tc>
        <w:tc>
          <w:tcPr>
            <w:tcW w:w="1505" w:type="dxa"/>
            <w:vAlign w:val="center"/>
          </w:tcPr>
          <w:p w14:paraId="556B8163" w14:textId="6283D6F3" w:rsidR="00A9407A" w:rsidRDefault="00A9407A" w:rsidP="00A9407A">
            <w:pPr>
              <w:jc w:val="center"/>
            </w:pPr>
            <w:r>
              <w:t>Extreme temperature</w:t>
            </w:r>
          </w:p>
        </w:tc>
        <w:tc>
          <w:tcPr>
            <w:tcW w:w="1647" w:type="dxa"/>
            <w:vAlign w:val="center"/>
          </w:tcPr>
          <w:p w14:paraId="19D51476" w14:textId="4150D797" w:rsidR="00A9407A" w:rsidRDefault="00A9407A" w:rsidP="00A9407A">
            <w:pPr>
              <w:jc w:val="center"/>
            </w:pPr>
            <w:proofErr w:type="gramStart"/>
            <w:r>
              <w:t>MU</w:t>
            </w:r>
            <w:r w:rsidRPr="00B20823">
              <w:rPr>
                <w:vertAlign w:val="subscript"/>
              </w:rPr>
              <w:t>QoQZ,</w:t>
            </w:r>
            <w:r>
              <w:rPr>
                <w:vertAlign w:val="subscript"/>
              </w:rPr>
              <w:t>E</w:t>
            </w:r>
            <w:r w:rsidRPr="00B20823">
              <w:rPr>
                <w:vertAlign w:val="subscript"/>
              </w:rPr>
              <w:t>TC</w:t>
            </w:r>
            <w:proofErr w:type="gramEnd"/>
          </w:p>
        </w:tc>
        <w:tc>
          <w:tcPr>
            <w:tcW w:w="2160" w:type="dxa"/>
            <w:vAlign w:val="center"/>
          </w:tcPr>
          <w:p w14:paraId="1E7EC272" w14:textId="5ED8FD18" w:rsidR="00A9407A" w:rsidRDefault="00A9407A" w:rsidP="00A9407A">
            <w:pPr>
              <w:jc w:val="center"/>
            </w:pPr>
            <w:r>
              <w:t>ETC Cal, i.e., path loss is assessed with ETC enclosure</w:t>
            </w:r>
          </w:p>
        </w:tc>
        <w:tc>
          <w:tcPr>
            <w:tcW w:w="1619" w:type="dxa"/>
            <w:vAlign w:val="center"/>
          </w:tcPr>
          <w:p w14:paraId="7FF63F24" w14:textId="3E503430" w:rsidR="00A9407A" w:rsidRDefault="00A9407A" w:rsidP="00A9407A">
            <w:pPr>
              <w:jc w:val="center"/>
            </w:pPr>
            <w:r>
              <w:t>MTSU</w:t>
            </w:r>
            <w:r>
              <w:rPr>
                <w:vertAlign w:val="subscript"/>
              </w:rPr>
              <w:t>ET</w:t>
            </w:r>
            <w:r w:rsidRPr="00B20823">
              <w:rPr>
                <w:vertAlign w:val="subscript"/>
              </w:rPr>
              <w:t>C</w:t>
            </w:r>
            <w:r>
              <w:t xml:space="preserve">, e.g., Table </w:t>
            </w:r>
            <w:r w:rsidRPr="002E0661">
              <w:t>B.3.2-</w:t>
            </w:r>
            <w:r>
              <w:t xml:space="preserve">8 </w:t>
            </w:r>
            <w:r>
              <w:fldChar w:fldCharType="begin"/>
            </w:r>
            <w:r>
              <w:instrText xml:space="preserve"> REF _Ref63263631 \w \h  \* MERGEFORMAT </w:instrText>
            </w:r>
            <w:r>
              <w:fldChar w:fldCharType="separate"/>
            </w:r>
            <w:r>
              <w:t>[2]</w:t>
            </w:r>
            <w:r>
              <w:fldChar w:fldCharType="end"/>
            </w:r>
            <w:r>
              <w:t xml:space="preserve"> for MOP-EIRP</w:t>
            </w:r>
          </w:p>
        </w:tc>
      </w:tr>
    </w:tbl>
    <w:p w14:paraId="775CA61B" w14:textId="71DADE4C" w:rsidR="00B20823" w:rsidRDefault="00B20823" w:rsidP="00E03F11"/>
    <w:p w14:paraId="748EEC83" w14:textId="76F26428" w:rsidR="009725DD" w:rsidRDefault="009725DD" w:rsidP="00E03F11">
      <w:r>
        <w:t xml:space="preserve">It is therefore proposed to add a note in the tables for ETC in </w:t>
      </w:r>
      <w:r>
        <w:fldChar w:fldCharType="begin"/>
      </w:r>
      <w:r>
        <w:instrText xml:space="preserve"> REF _Ref63263631 \w \h </w:instrText>
      </w:r>
      <w:r>
        <w:fldChar w:fldCharType="separate"/>
      </w:r>
      <w:r>
        <w:t>[2]</w:t>
      </w:r>
      <w:r>
        <w:fldChar w:fldCharType="end"/>
      </w:r>
      <w:r>
        <w:t xml:space="preserve">, i.e., </w:t>
      </w:r>
      <w:r w:rsidRPr="009725DD">
        <w:t xml:space="preserve">Table B.3.2-8 </w:t>
      </w:r>
      <w:r>
        <w:t xml:space="preserve">and </w:t>
      </w:r>
      <w:r w:rsidRPr="009725DD">
        <w:t>B.19.2-4</w:t>
      </w:r>
      <w:r>
        <w:t xml:space="preserve">, to highlight that the ETC QoQZ MU and ETC calibration path losses shall </w:t>
      </w:r>
      <w:r w:rsidR="00B87550">
        <w:t xml:space="preserve">be </w:t>
      </w:r>
      <w:r>
        <w:t xml:space="preserve">applied to the NTC test cases if the ETC environment is used for NTC test cases. </w:t>
      </w:r>
      <w:r w:rsidR="00B87550">
        <w:t>No note is needed that the MTSU</w:t>
      </w:r>
      <w:r w:rsidR="00B87550" w:rsidRPr="00B20823">
        <w:rPr>
          <w:vertAlign w:val="subscript"/>
        </w:rPr>
        <w:t>NTC</w:t>
      </w:r>
      <w:r w:rsidR="00B87550">
        <w:t xml:space="preserve"> applies to NTC test cases with or without the ETC enclosure as the MU tables in Annex B of 38.903 </w:t>
      </w:r>
      <w:r w:rsidR="00B87550">
        <w:fldChar w:fldCharType="begin"/>
      </w:r>
      <w:r w:rsidR="00B87550">
        <w:instrText xml:space="preserve"> REF _Ref63263631 \w \h </w:instrText>
      </w:r>
      <w:r w:rsidR="00B87550">
        <w:fldChar w:fldCharType="separate"/>
      </w:r>
      <w:r w:rsidR="00B87550">
        <w:t>[2]</w:t>
      </w:r>
      <w:r w:rsidR="00B87550">
        <w:fldChar w:fldCharType="end"/>
      </w:r>
      <w:r w:rsidR="00B87550">
        <w:t xml:space="preserve"> already differentiate between NTC and ETC operation. </w:t>
      </w:r>
    </w:p>
    <w:p w14:paraId="49D7B459" w14:textId="05DA2326" w:rsidR="009725DD" w:rsidRDefault="009725DD" w:rsidP="00CF0C66">
      <w:pPr>
        <w:pStyle w:val="Caption"/>
      </w:pPr>
      <w:bookmarkStart w:id="15" w:name="_Ref63268345"/>
      <w:r>
        <w:t xml:space="preserve">Proposal </w:t>
      </w:r>
      <w:r>
        <w:fldChar w:fldCharType="begin"/>
      </w:r>
      <w:r>
        <w:instrText xml:space="preserve"> SEQ Proposal \* ARABIC </w:instrText>
      </w:r>
      <w:r>
        <w:fldChar w:fldCharType="separate"/>
      </w:r>
      <w:r>
        <w:rPr>
          <w:noProof/>
        </w:rPr>
        <w:t>2</w:t>
      </w:r>
      <w:r>
        <w:fldChar w:fldCharType="end"/>
      </w:r>
      <w:r>
        <w:t xml:space="preserve">: Add a note in the tables for ETC in </w:t>
      </w:r>
      <w:r>
        <w:fldChar w:fldCharType="begin"/>
      </w:r>
      <w:r>
        <w:instrText xml:space="preserve"> REF _Ref63263631 \w \h </w:instrText>
      </w:r>
      <w:r>
        <w:fldChar w:fldCharType="separate"/>
      </w:r>
      <w:r>
        <w:t>[2]</w:t>
      </w:r>
      <w:r>
        <w:fldChar w:fldCharType="end"/>
      </w:r>
      <w:r>
        <w:t xml:space="preserve">, i.e., </w:t>
      </w:r>
      <w:r w:rsidRPr="009725DD">
        <w:t xml:space="preserve">Table B.3.2-8 </w:t>
      </w:r>
      <w:r>
        <w:t xml:space="preserve">and </w:t>
      </w:r>
      <w:r w:rsidRPr="009725DD">
        <w:t>B.19.2-4</w:t>
      </w:r>
      <w:r>
        <w:t xml:space="preserve">, to highlight that the ETC QoQZ MU and ETC calibration path losses shall </w:t>
      </w:r>
      <w:r w:rsidR="00CF0C66">
        <w:t xml:space="preserve">be </w:t>
      </w:r>
      <w:r>
        <w:t>applied to the NTC test cases if the ETC environment is used for NTC test cases</w:t>
      </w:r>
      <w:bookmarkEnd w:id="15"/>
    </w:p>
    <w:bookmarkEnd w:id="2"/>
    <w:bookmarkEnd w:id="4"/>
    <w:p w14:paraId="232D892B" w14:textId="77777777" w:rsidR="0039156F" w:rsidRDefault="0039156F">
      <w:pPr>
        <w:spacing w:after="0"/>
        <w:rPr>
          <w:rFonts w:ascii="Arial" w:hAnsi="Arial"/>
          <w:sz w:val="36"/>
        </w:rPr>
      </w:pPr>
      <w:r>
        <w:br w:type="page"/>
      </w:r>
    </w:p>
    <w:p w14:paraId="35952390" w14:textId="64BC3441" w:rsidR="008B0529" w:rsidRDefault="0053435C" w:rsidP="0053435C">
      <w:pPr>
        <w:pStyle w:val="Heading1"/>
        <w:ind w:left="567" w:hanging="567"/>
      </w:pPr>
      <w:r>
        <w:lastRenderedPageBreak/>
        <w:t>Conclusion</w:t>
      </w:r>
    </w:p>
    <w:p w14:paraId="35952391" w14:textId="72CE75B7" w:rsidR="008B0529" w:rsidRDefault="0053435C" w:rsidP="008B0529">
      <w:r>
        <w:t>The following observations and proposals were made in this contribution</w:t>
      </w:r>
    </w:p>
    <w:p w14:paraId="7586D002" w14:textId="706E414B" w:rsidR="009725DD" w:rsidRPr="005F4882" w:rsidRDefault="009725DD" w:rsidP="008B0529">
      <w:pPr>
        <w:rPr>
          <w:b/>
          <w:bCs/>
        </w:rPr>
      </w:pPr>
      <w:r w:rsidRPr="005F4882">
        <w:rPr>
          <w:b/>
          <w:bCs/>
        </w:rPr>
        <w:fldChar w:fldCharType="begin"/>
      </w:r>
      <w:r w:rsidRPr="005F4882">
        <w:rPr>
          <w:b/>
          <w:bCs/>
        </w:rPr>
        <w:instrText xml:space="preserve"> REF _Ref63268343 \h </w:instrText>
      </w:r>
      <w:r w:rsidR="005F4882">
        <w:rPr>
          <w:b/>
          <w:bCs/>
        </w:rPr>
        <w:instrText xml:space="preserve"> \* MERGEFORMAT </w:instrText>
      </w:r>
      <w:r w:rsidRPr="005F4882">
        <w:rPr>
          <w:b/>
          <w:bCs/>
        </w:rPr>
      </w:r>
      <w:r w:rsidRPr="005F4882">
        <w:rPr>
          <w:b/>
          <w:bCs/>
        </w:rPr>
        <w:fldChar w:fldCharType="separate"/>
      </w:r>
      <w:r w:rsidR="00077F8E" w:rsidRPr="00077F8E">
        <w:rPr>
          <w:b/>
          <w:bCs/>
        </w:rPr>
        <w:t xml:space="preserve">Observation </w:t>
      </w:r>
      <w:r w:rsidR="00077F8E" w:rsidRPr="00077F8E">
        <w:rPr>
          <w:b/>
          <w:bCs/>
          <w:noProof/>
        </w:rPr>
        <w:t>1</w:t>
      </w:r>
      <w:r w:rsidR="00077F8E" w:rsidRPr="00077F8E">
        <w:rPr>
          <w:b/>
          <w:bCs/>
        </w:rPr>
        <w:t xml:space="preserve">: The QoQZ with the ETC enclosure, </w:t>
      </w:r>
      <w:proofErr w:type="gramStart"/>
      <w:r w:rsidR="00077F8E" w:rsidRPr="00077F8E">
        <w:rPr>
          <w:b/>
          <w:bCs/>
        </w:rPr>
        <w:t>MU</w:t>
      </w:r>
      <w:r w:rsidR="00077F8E" w:rsidRPr="00077F8E">
        <w:rPr>
          <w:b/>
          <w:bCs/>
          <w:vertAlign w:val="subscript"/>
        </w:rPr>
        <w:t>QoQZ,ETC</w:t>
      </w:r>
      <w:proofErr w:type="gramEnd"/>
      <w:r w:rsidR="00077F8E" w:rsidRPr="00077F8E">
        <w:rPr>
          <w:b/>
          <w:bCs/>
        </w:rPr>
        <w:t xml:space="preserve"> is generally higher than without the ETC enclosure, MU</w:t>
      </w:r>
      <w:r w:rsidR="00077F8E" w:rsidRPr="00077F8E">
        <w:rPr>
          <w:b/>
          <w:bCs/>
          <w:vertAlign w:val="subscript"/>
        </w:rPr>
        <w:t>QoQZ,NTC</w:t>
      </w:r>
      <w:r w:rsidR="00077F8E" w:rsidRPr="00077F8E">
        <w:rPr>
          <w:b/>
          <w:bCs/>
        </w:rPr>
        <w:t>.</w:t>
      </w:r>
      <w:r w:rsidRPr="005F4882">
        <w:rPr>
          <w:b/>
          <w:bCs/>
        </w:rPr>
        <w:fldChar w:fldCharType="end"/>
      </w:r>
    </w:p>
    <w:p w14:paraId="3F04FC29" w14:textId="05B07DC7" w:rsidR="009725DD" w:rsidRPr="005F4882" w:rsidRDefault="009725DD" w:rsidP="008B0529">
      <w:pPr>
        <w:rPr>
          <w:b/>
          <w:bCs/>
        </w:rPr>
      </w:pPr>
      <w:r w:rsidRPr="005F4882">
        <w:rPr>
          <w:b/>
          <w:bCs/>
        </w:rPr>
        <w:fldChar w:fldCharType="begin"/>
      </w:r>
      <w:r w:rsidRPr="005F4882">
        <w:rPr>
          <w:b/>
          <w:bCs/>
        </w:rPr>
        <w:instrText xml:space="preserve"> REF _Ref63268344 \h </w:instrText>
      </w:r>
      <w:r w:rsidR="005F4882">
        <w:rPr>
          <w:b/>
          <w:bCs/>
        </w:rPr>
        <w:instrText xml:space="preserve"> \* MERGEFORMAT </w:instrText>
      </w:r>
      <w:r w:rsidRPr="005F4882">
        <w:rPr>
          <w:b/>
          <w:bCs/>
        </w:rPr>
      </w:r>
      <w:r w:rsidRPr="005F4882">
        <w:rPr>
          <w:b/>
          <w:bCs/>
        </w:rPr>
        <w:fldChar w:fldCharType="separate"/>
      </w:r>
      <w:r w:rsidR="00077F8E" w:rsidRPr="00077F8E">
        <w:rPr>
          <w:b/>
          <w:bCs/>
        </w:rPr>
        <w:t xml:space="preserve">Proposal </w:t>
      </w:r>
      <w:r w:rsidR="00077F8E" w:rsidRPr="00077F8E">
        <w:rPr>
          <w:b/>
          <w:bCs/>
          <w:noProof/>
        </w:rPr>
        <w:t>1</w:t>
      </w:r>
      <w:r w:rsidR="00077F8E" w:rsidRPr="00077F8E">
        <w:rPr>
          <w:b/>
          <w:bCs/>
        </w:rPr>
        <w:t>: Remove the recently added MU element ‘Influence of ETC on EIRP/EIS’ from 38.903</w:t>
      </w:r>
      <w:r w:rsidRPr="005F4882">
        <w:rPr>
          <w:b/>
          <w:bCs/>
        </w:rPr>
        <w:fldChar w:fldCharType="end"/>
      </w:r>
    </w:p>
    <w:p w14:paraId="0C1052E6" w14:textId="6181D242" w:rsidR="009725DD" w:rsidRPr="00CF0C66" w:rsidRDefault="009725DD" w:rsidP="008B0529">
      <w:pPr>
        <w:rPr>
          <w:b/>
          <w:bCs/>
        </w:rPr>
      </w:pPr>
      <w:r w:rsidRPr="00CF0C66">
        <w:rPr>
          <w:b/>
          <w:bCs/>
        </w:rPr>
        <w:fldChar w:fldCharType="begin"/>
      </w:r>
      <w:r w:rsidRPr="00CF0C66">
        <w:rPr>
          <w:b/>
          <w:bCs/>
        </w:rPr>
        <w:instrText xml:space="preserve"> REF _Ref63268345 \h </w:instrText>
      </w:r>
      <w:r w:rsidR="005F4882" w:rsidRPr="00CF0C66">
        <w:rPr>
          <w:b/>
          <w:bCs/>
        </w:rPr>
        <w:instrText xml:space="preserve"> \* MERGEFORMAT </w:instrText>
      </w:r>
      <w:r w:rsidRPr="00CF0C66">
        <w:rPr>
          <w:b/>
          <w:bCs/>
        </w:rPr>
      </w:r>
      <w:r w:rsidRPr="00CF0C66">
        <w:rPr>
          <w:b/>
          <w:bCs/>
        </w:rPr>
        <w:fldChar w:fldCharType="separate"/>
      </w:r>
      <w:r w:rsidR="00077F8E" w:rsidRPr="00077F8E">
        <w:rPr>
          <w:b/>
          <w:bCs/>
        </w:rPr>
        <w:t xml:space="preserve">Proposal </w:t>
      </w:r>
      <w:r w:rsidR="00077F8E" w:rsidRPr="00077F8E">
        <w:rPr>
          <w:b/>
          <w:bCs/>
          <w:noProof/>
        </w:rPr>
        <w:t>2</w:t>
      </w:r>
      <w:r w:rsidR="00077F8E" w:rsidRPr="00077F8E">
        <w:rPr>
          <w:b/>
          <w:bCs/>
        </w:rPr>
        <w:t>: Add a note in the tables for ETC in [2], i.e., Table B.3.2-8 and B.19.2-4, to highlight that the ETC QoQZ MU and ETC calibration path losses shall be applied to the NTC test cases if the ETC environment is used for NTC test cases</w:t>
      </w:r>
      <w:r w:rsidRPr="00CF0C66">
        <w:rPr>
          <w:b/>
          <w:bCs/>
        </w:rPr>
        <w:fldChar w:fldCharType="end"/>
      </w:r>
    </w:p>
    <w:p w14:paraId="35952392" w14:textId="75F53DB4" w:rsidR="00DD1C07" w:rsidRPr="00D70EF3" w:rsidRDefault="00DD1C07" w:rsidP="00DD1C07">
      <w:pPr>
        <w:pStyle w:val="Heading1"/>
        <w:ind w:left="567" w:hanging="567"/>
      </w:pPr>
      <w:r w:rsidRPr="00D70EF3">
        <w:t>References</w:t>
      </w:r>
    </w:p>
    <w:p w14:paraId="6A204278" w14:textId="53716C84" w:rsidR="0057696A" w:rsidRDefault="0057696A" w:rsidP="00D7328C">
      <w:pPr>
        <w:numPr>
          <w:ilvl w:val="0"/>
          <w:numId w:val="5"/>
        </w:numPr>
        <w:tabs>
          <w:tab w:val="left" w:pos="426"/>
        </w:tabs>
        <w:overflowPunct w:val="0"/>
        <w:autoSpaceDE w:val="0"/>
        <w:autoSpaceDN w:val="0"/>
        <w:adjustRightInd w:val="0"/>
        <w:textAlignment w:val="baseline"/>
      </w:pPr>
      <w:bookmarkStart w:id="16" w:name="_Ref63266442"/>
      <w:bookmarkStart w:id="17" w:name="_Ref54807022"/>
      <w:r w:rsidRPr="0057696A">
        <w:t>R5-206819</w:t>
      </w:r>
      <w:r>
        <w:t xml:space="preserve">, </w:t>
      </w:r>
      <w:r w:rsidRPr="0057696A">
        <w:t>QoQZ and EIRP/EIS MU results for ETC testing</w:t>
      </w:r>
      <w:r>
        <w:t xml:space="preserve">, Keysight Technologies, </w:t>
      </w:r>
      <w:r w:rsidRPr="0057696A">
        <w:t>3GPP TSG-RAN5 Meeting #89-e</w:t>
      </w:r>
      <w:r>
        <w:t>, November 2020</w:t>
      </w:r>
      <w:bookmarkEnd w:id="16"/>
    </w:p>
    <w:p w14:paraId="5A8AD8FB" w14:textId="77777777" w:rsidR="006045E6" w:rsidRPr="006045E6" w:rsidRDefault="006045E6" w:rsidP="006045E6">
      <w:pPr>
        <w:pStyle w:val="ListParagraph"/>
        <w:numPr>
          <w:ilvl w:val="0"/>
          <w:numId w:val="5"/>
        </w:numPr>
        <w:spacing w:after="160" w:line="259" w:lineRule="auto"/>
        <w:rPr>
          <w:rFonts w:ascii="Times New Roman" w:eastAsia="Malgun Gothic" w:hAnsi="Times New Roman"/>
          <w:sz w:val="20"/>
          <w:szCs w:val="20"/>
          <w:lang w:val="en-GB"/>
        </w:rPr>
      </w:pPr>
      <w:bookmarkStart w:id="18" w:name="_Ref63263631"/>
      <w:r w:rsidRPr="006045E6">
        <w:rPr>
          <w:rFonts w:ascii="Times New Roman" w:eastAsia="Malgun Gothic" w:hAnsi="Times New Roman"/>
          <w:sz w:val="20"/>
          <w:szCs w:val="20"/>
          <w:lang w:val="en-GB"/>
        </w:rPr>
        <w:t>TR 38.903, Derivation of test tolerances and measurement uncertainty for User Equipment (UE) conformance test cases, V16.6.0 (2020-12)</w:t>
      </w:r>
      <w:bookmarkEnd w:id="18"/>
    </w:p>
    <w:p w14:paraId="02A16D4D" w14:textId="12C7B91D" w:rsidR="00EB3465" w:rsidRPr="00052390" w:rsidRDefault="004C3F54" w:rsidP="00EB3465">
      <w:pPr>
        <w:numPr>
          <w:ilvl w:val="0"/>
          <w:numId w:val="5"/>
        </w:numPr>
        <w:tabs>
          <w:tab w:val="left" w:pos="426"/>
        </w:tabs>
        <w:overflowPunct w:val="0"/>
        <w:autoSpaceDE w:val="0"/>
        <w:autoSpaceDN w:val="0"/>
        <w:adjustRightInd w:val="0"/>
        <w:textAlignment w:val="baseline"/>
      </w:pPr>
      <w:bookmarkStart w:id="19" w:name="_Ref63266443"/>
      <w:bookmarkEnd w:id="17"/>
      <w:r>
        <w:t>R5-210557</w:t>
      </w:r>
      <w:r w:rsidR="00EB3465">
        <w:t xml:space="preserve">, </w:t>
      </w:r>
      <w:r w:rsidR="00EB3465" w:rsidRPr="00EB3465">
        <w:t>On the QoQZ standard deviation for ETC testing</w:t>
      </w:r>
      <w:r w:rsidR="00EB3465">
        <w:t xml:space="preserve">, Rohde &amp; Schwarz, </w:t>
      </w:r>
      <w:r w:rsidR="00EB3465" w:rsidRPr="0057696A">
        <w:t>3GPP TSG-RAN5 Meeting #9</w:t>
      </w:r>
      <w:r w:rsidR="00EB3465">
        <w:t>0</w:t>
      </w:r>
      <w:r w:rsidR="00EB3465" w:rsidRPr="0057696A">
        <w:t>-e</w:t>
      </w:r>
      <w:r w:rsidR="00EB3465">
        <w:t>, February 2021</w:t>
      </w:r>
      <w:bookmarkEnd w:id="19"/>
    </w:p>
    <w:sectPr w:rsidR="00EB3465"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F868B" w14:textId="77777777" w:rsidR="0002769B" w:rsidRDefault="0002769B">
      <w:r>
        <w:separator/>
      </w:r>
    </w:p>
  </w:endnote>
  <w:endnote w:type="continuationSeparator" w:id="0">
    <w:p w14:paraId="496991CD" w14:textId="77777777" w:rsidR="0002769B" w:rsidRDefault="0002769B">
      <w:r>
        <w:continuationSeparator/>
      </w:r>
    </w:p>
  </w:endnote>
  <w:endnote w:type="continuationNotice" w:id="1">
    <w:p w14:paraId="3232CCA3" w14:textId="77777777" w:rsidR="0002769B" w:rsidRDefault="00027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F0021" w14:textId="77777777" w:rsidR="0002769B" w:rsidRDefault="0002769B">
      <w:r>
        <w:separator/>
      </w:r>
    </w:p>
  </w:footnote>
  <w:footnote w:type="continuationSeparator" w:id="0">
    <w:p w14:paraId="6487483C" w14:textId="77777777" w:rsidR="0002769B" w:rsidRDefault="0002769B">
      <w:r>
        <w:continuationSeparator/>
      </w:r>
    </w:p>
  </w:footnote>
  <w:footnote w:type="continuationNotice" w:id="1">
    <w:p w14:paraId="3B0F6BD4" w14:textId="77777777" w:rsidR="0002769B" w:rsidRDefault="000276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1C53AE7"/>
    <w:multiLevelType w:val="hybridMultilevel"/>
    <w:tmpl w:val="D67C0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C022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FFF10DC"/>
    <w:multiLevelType w:val="hybridMultilevel"/>
    <w:tmpl w:val="0DFC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8"/>
  </w:num>
  <w:num w:numId="7">
    <w:abstractNumId w:val="14"/>
  </w:num>
  <w:num w:numId="8">
    <w:abstractNumId w:val="8"/>
  </w:num>
  <w:num w:numId="9">
    <w:abstractNumId w:val="24"/>
  </w:num>
  <w:num w:numId="10">
    <w:abstractNumId w:val="5"/>
  </w:num>
  <w:num w:numId="11">
    <w:abstractNumId w:val="29"/>
  </w:num>
  <w:num w:numId="12">
    <w:abstractNumId w:val="11"/>
  </w:num>
  <w:num w:numId="13">
    <w:abstractNumId w:val="28"/>
  </w:num>
  <w:num w:numId="14">
    <w:abstractNumId w:val="34"/>
  </w:num>
  <w:num w:numId="15">
    <w:abstractNumId w:val="10"/>
  </w:num>
  <w:num w:numId="16">
    <w:abstractNumId w:val="33"/>
  </w:num>
  <w:num w:numId="17">
    <w:abstractNumId w:val="7"/>
  </w:num>
  <w:num w:numId="18">
    <w:abstractNumId w:val="26"/>
  </w:num>
  <w:num w:numId="19">
    <w:abstractNumId w:val="22"/>
  </w:num>
  <w:num w:numId="20">
    <w:abstractNumId w:val="27"/>
  </w:num>
  <w:num w:numId="21">
    <w:abstractNumId w:val="32"/>
  </w:num>
  <w:num w:numId="22">
    <w:abstractNumId w:val="25"/>
  </w:num>
  <w:num w:numId="23">
    <w:abstractNumId w:val="23"/>
  </w:num>
  <w:num w:numId="24">
    <w:abstractNumId w:val="9"/>
  </w:num>
  <w:num w:numId="25">
    <w:abstractNumId w:val="4"/>
  </w:num>
  <w:num w:numId="26">
    <w:abstractNumId w:val="26"/>
  </w:num>
  <w:num w:numId="27">
    <w:abstractNumId w:val="26"/>
  </w:num>
  <w:num w:numId="28">
    <w:abstractNumId w:val="26"/>
  </w:num>
  <w:num w:numId="29">
    <w:abstractNumId w:val="20"/>
  </w:num>
  <w:num w:numId="30">
    <w:abstractNumId w:val="17"/>
  </w:num>
  <w:num w:numId="31">
    <w:abstractNumId w:val="37"/>
  </w:num>
  <w:num w:numId="32">
    <w:abstractNumId w:val="31"/>
  </w:num>
  <w:num w:numId="33">
    <w:abstractNumId w:val="36"/>
  </w:num>
  <w:num w:numId="34">
    <w:abstractNumId w:val="15"/>
  </w:num>
  <w:num w:numId="35">
    <w:abstractNumId w:val="6"/>
  </w:num>
  <w:num w:numId="36">
    <w:abstractNumId w:val="1"/>
  </w:num>
  <w:num w:numId="37">
    <w:abstractNumId w:val="30"/>
  </w:num>
  <w:num w:numId="38">
    <w:abstractNumId w:val="13"/>
  </w:num>
  <w:num w:numId="39">
    <w:abstractNumId w:val="19"/>
  </w:num>
  <w:num w:numId="40">
    <w:abstractNumId w:val="21"/>
  </w:num>
  <w:num w:numId="41">
    <w:abstractNumId w:val="12"/>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2769B"/>
    <w:rsid w:val="00031C1D"/>
    <w:rsid w:val="00032F36"/>
    <w:rsid w:val="00033E14"/>
    <w:rsid w:val="00036AF0"/>
    <w:rsid w:val="000379D6"/>
    <w:rsid w:val="000439E6"/>
    <w:rsid w:val="0004477C"/>
    <w:rsid w:val="0004678D"/>
    <w:rsid w:val="00052390"/>
    <w:rsid w:val="000547AB"/>
    <w:rsid w:val="0005509D"/>
    <w:rsid w:val="00055873"/>
    <w:rsid w:val="00056560"/>
    <w:rsid w:val="0005725C"/>
    <w:rsid w:val="000606FD"/>
    <w:rsid w:val="00061ECA"/>
    <w:rsid w:val="00064500"/>
    <w:rsid w:val="00077333"/>
    <w:rsid w:val="00077F8E"/>
    <w:rsid w:val="00082566"/>
    <w:rsid w:val="00083540"/>
    <w:rsid w:val="00084983"/>
    <w:rsid w:val="00087F53"/>
    <w:rsid w:val="00093E7E"/>
    <w:rsid w:val="00096EE4"/>
    <w:rsid w:val="000A12C7"/>
    <w:rsid w:val="000A2A86"/>
    <w:rsid w:val="000A43B4"/>
    <w:rsid w:val="000B25D3"/>
    <w:rsid w:val="000C2440"/>
    <w:rsid w:val="000C3463"/>
    <w:rsid w:val="000C3E4E"/>
    <w:rsid w:val="000C640F"/>
    <w:rsid w:val="000D0700"/>
    <w:rsid w:val="000D24F4"/>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1CC5"/>
    <w:rsid w:val="00152172"/>
    <w:rsid w:val="00153528"/>
    <w:rsid w:val="00157AD8"/>
    <w:rsid w:val="00166A36"/>
    <w:rsid w:val="001741AE"/>
    <w:rsid w:val="001758FB"/>
    <w:rsid w:val="00196F9F"/>
    <w:rsid w:val="001A08AA"/>
    <w:rsid w:val="001A17A5"/>
    <w:rsid w:val="001A2A56"/>
    <w:rsid w:val="001A2BC5"/>
    <w:rsid w:val="001A2EF9"/>
    <w:rsid w:val="001A3120"/>
    <w:rsid w:val="001A3BFA"/>
    <w:rsid w:val="001B2108"/>
    <w:rsid w:val="001B231F"/>
    <w:rsid w:val="001B28D7"/>
    <w:rsid w:val="001B6A72"/>
    <w:rsid w:val="001B6FE3"/>
    <w:rsid w:val="001C00AA"/>
    <w:rsid w:val="001C0CFD"/>
    <w:rsid w:val="001C3A35"/>
    <w:rsid w:val="001C3CCB"/>
    <w:rsid w:val="001C4A15"/>
    <w:rsid w:val="001C687E"/>
    <w:rsid w:val="001D0D8E"/>
    <w:rsid w:val="001D0DEA"/>
    <w:rsid w:val="001D7D91"/>
    <w:rsid w:val="001D7F4A"/>
    <w:rsid w:val="001E1CF6"/>
    <w:rsid w:val="001E4636"/>
    <w:rsid w:val="001E6DC6"/>
    <w:rsid w:val="001F5121"/>
    <w:rsid w:val="001F5795"/>
    <w:rsid w:val="001F706B"/>
    <w:rsid w:val="00200996"/>
    <w:rsid w:val="0020151B"/>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5F88"/>
    <w:rsid w:val="00236683"/>
    <w:rsid w:val="0023752C"/>
    <w:rsid w:val="00241A14"/>
    <w:rsid w:val="0024347E"/>
    <w:rsid w:val="00244EEE"/>
    <w:rsid w:val="0025114C"/>
    <w:rsid w:val="00251340"/>
    <w:rsid w:val="00252AEA"/>
    <w:rsid w:val="00254246"/>
    <w:rsid w:val="00255905"/>
    <w:rsid w:val="002578B5"/>
    <w:rsid w:val="00260282"/>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393E"/>
    <w:rsid w:val="002A4112"/>
    <w:rsid w:val="002A7017"/>
    <w:rsid w:val="002A7F4B"/>
    <w:rsid w:val="002B11F7"/>
    <w:rsid w:val="002B3F06"/>
    <w:rsid w:val="002B4D62"/>
    <w:rsid w:val="002C1E1B"/>
    <w:rsid w:val="002C2040"/>
    <w:rsid w:val="002C7D13"/>
    <w:rsid w:val="002D0D61"/>
    <w:rsid w:val="002D44BD"/>
    <w:rsid w:val="002D4621"/>
    <w:rsid w:val="002D69EF"/>
    <w:rsid w:val="002E0661"/>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B7F"/>
    <w:rsid w:val="00365EF7"/>
    <w:rsid w:val="00366F9B"/>
    <w:rsid w:val="00367724"/>
    <w:rsid w:val="003679B5"/>
    <w:rsid w:val="00373148"/>
    <w:rsid w:val="00374836"/>
    <w:rsid w:val="00377436"/>
    <w:rsid w:val="0037773C"/>
    <w:rsid w:val="00380C5B"/>
    <w:rsid w:val="00380F33"/>
    <w:rsid w:val="00381C22"/>
    <w:rsid w:val="003834B0"/>
    <w:rsid w:val="00384387"/>
    <w:rsid w:val="003907E3"/>
    <w:rsid w:val="0039156F"/>
    <w:rsid w:val="0039361E"/>
    <w:rsid w:val="0039509E"/>
    <w:rsid w:val="00397CC0"/>
    <w:rsid w:val="003A1A50"/>
    <w:rsid w:val="003A1E08"/>
    <w:rsid w:val="003B1087"/>
    <w:rsid w:val="003B1AA0"/>
    <w:rsid w:val="003B478A"/>
    <w:rsid w:val="003B5AB0"/>
    <w:rsid w:val="003B5C9B"/>
    <w:rsid w:val="003C4291"/>
    <w:rsid w:val="003C47CE"/>
    <w:rsid w:val="003C5232"/>
    <w:rsid w:val="003D1D54"/>
    <w:rsid w:val="003D2C79"/>
    <w:rsid w:val="003D4863"/>
    <w:rsid w:val="003D5D10"/>
    <w:rsid w:val="003D7CEB"/>
    <w:rsid w:val="003E300F"/>
    <w:rsid w:val="003E39F0"/>
    <w:rsid w:val="003E3F2D"/>
    <w:rsid w:val="003E567C"/>
    <w:rsid w:val="003E6A73"/>
    <w:rsid w:val="003F0282"/>
    <w:rsid w:val="003F1A0D"/>
    <w:rsid w:val="003F1AEA"/>
    <w:rsid w:val="003F1D13"/>
    <w:rsid w:val="003F6395"/>
    <w:rsid w:val="003F6FF1"/>
    <w:rsid w:val="004006F6"/>
    <w:rsid w:val="0040097C"/>
    <w:rsid w:val="0040139E"/>
    <w:rsid w:val="004026D0"/>
    <w:rsid w:val="004048A9"/>
    <w:rsid w:val="0041196F"/>
    <w:rsid w:val="00413C3E"/>
    <w:rsid w:val="00413C6C"/>
    <w:rsid w:val="0041477A"/>
    <w:rsid w:val="00417068"/>
    <w:rsid w:val="004204BB"/>
    <w:rsid w:val="00420AD5"/>
    <w:rsid w:val="00422C2C"/>
    <w:rsid w:val="00426356"/>
    <w:rsid w:val="00427B4E"/>
    <w:rsid w:val="00431287"/>
    <w:rsid w:val="004420B4"/>
    <w:rsid w:val="00444225"/>
    <w:rsid w:val="00446AEE"/>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C3F54"/>
    <w:rsid w:val="004D0FD5"/>
    <w:rsid w:val="004D5AE5"/>
    <w:rsid w:val="004E2B50"/>
    <w:rsid w:val="004F08C5"/>
    <w:rsid w:val="004F374D"/>
    <w:rsid w:val="004F3D34"/>
    <w:rsid w:val="004F3E0E"/>
    <w:rsid w:val="004F3EB5"/>
    <w:rsid w:val="004F554E"/>
    <w:rsid w:val="004F7A3D"/>
    <w:rsid w:val="004F7C82"/>
    <w:rsid w:val="00501CEE"/>
    <w:rsid w:val="00504060"/>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2BCD"/>
    <w:rsid w:val="005649A1"/>
    <w:rsid w:val="00566838"/>
    <w:rsid w:val="0057696A"/>
    <w:rsid w:val="00580542"/>
    <w:rsid w:val="00580587"/>
    <w:rsid w:val="00581E88"/>
    <w:rsid w:val="00582B58"/>
    <w:rsid w:val="0058392F"/>
    <w:rsid w:val="00585B23"/>
    <w:rsid w:val="005908D2"/>
    <w:rsid w:val="00592F28"/>
    <w:rsid w:val="00593B56"/>
    <w:rsid w:val="005943B2"/>
    <w:rsid w:val="00595618"/>
    <w:rsid w:val="005A0EDD"/>
    <w:rsid w:val="005A14CB"/>
    <w:rsid w:val="005A616F"/>
    <w:rsid w:val="005A6F48"/>
    <w:rsid w:val="005C239F"/>
    <w:rsid w:val="005C331B"/>
    <w:rsid w:val="005C4593"/>
    <w:rsid w:val="005C7FC7"/>
    <w:rsid w:val="005E12CD"/>
    <w:rsid w:val="005E2985"/>
    <w:rsid w:val="005E5D66"/>
    <w:rsid w:val="005F3B1B"/>
    <w:rsid w:val="005F4882"/>
    <w:rsid w:val="006045E6"/>
    <w:rsid w:val="00607D98"/>
    <w:rsid w:val="0061059A"/>
    <w:rsid w:val="006126CA"/>
    <w:rsid w:val="006131BB"/>
    <w:rsid w:val="00613801"/>
    <w:rsid w:val="00613B1E"/>
    <w:rsid w:val="00616FB0"/>
    <w:rsid w:val="006210C4"/>
    <w:rsid w:val="00622B32"/>
    <w:rsid w:val="006251BE"/>
    <w:rsid w:val="00634928"/>
    <w:rsid w:val="00635671"/>
    <w:rsid w:val="00636ABD"/>
    <w:rsid w:val="00645857"/>
    <w:rsid w:val="006468DD"/>
    <w:rsid w:val="00651C2B"/>
    <w:rsid w:val="006537BF"/>
    <w:rsid w:val="00653DF0"/>
    <w:rsid w:val="006543EF"/>
    <w:rsid w:val="0065492A"/>
    <w:rsid w:val="00654D11"/>
    <w:rsid w:val="00656A7B"/>
    <w:rsid w:val="006577D8"/>
    <w:rsid w:val="00665AD3"/>
    <w:rsid w:val="006778F0"/>
    <w:rsid w:val="00683EDA"/>
    <w:rsid w:val="006856E5"/>
    <w:rsid w:val="0068649D"/>
    <w:rsid w:val="006937D0"/>
    <w:rsid w:val="00695755"/>
    <w:rsid w:val="00696BE5"/>
    <w:rsid w:val="00696D0A"/>
    <w:rsid w:val="006974B7"/>
    <w:rsid w:val="006A03F3"/>
    <w:rsid w:val="006A5A2A"/>
    <w:rsid w:val="006A5ED0"/>
    <w:rsid w:val="006A651B"/>
    <w:rsid w:val="006B03F1"/>
    <w:rsid w:val="006B0D02"/>
    <w:rsid w:val="006B1C2F"/>
    <w:rsid w:val="006B30E0"/>
    <w:rsid w:val="006B363D"/>
    <w:rsid w:val="006B39EF"/>
    <w:rsid w:val="006B492C"/>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BD1"/>
    <w:rsid w:val="00752FA3"/>
    <w:rsid w:val="00770A12"/>
    <w:rsid w:val="00774B17"/>
    <w:rsid w:val="007756A1"/>
    <w:rsid w:val="0078088D"/>
    <w:rsid w:val="00785759"/>
    <w:rsid w:val="00785D03"/>
    <w:rsid w:val="007927CF"/>
    <w:rsid w:val="00793FDC"/>
    <w:rsid w:val="00797994"/>
    <w:rsid w:val="007A1929"/>
    <w:rsid w:val="007A2502"/>
    <w:rsid w:val="007A4551"/>
    <w:rsid w:val="007A4F68"/>
    <w:rsid w:val="007A5139"/>
    <w:rsid w:val="007A5243"/>
    <w:rsid w:val="007A6059"/>
    <w:rsid w:val="007B03C6"/>
    <w:rsid w:val="007B0584"/>
    <w:rsid w:val="007B5856"/>
    <w:rsid w:val="007B6FFB"/>
    <w:rsid w:val="007C54CE"/>
    <w:rsid w:val="007C6DD8"/>
    <w:rsid w:val="007D0054"/>
    <w:rsid w:val="007D258B"/>
    <w:rsid w:val="007D36D3"/>
    <w:rsid w:val="007D3BE3"/>
    <w:rsid w:val="007D4C08"/>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0B18"/>
    <w:rsid w:val="0082190B"/>
    <w:rsid w:val="00826B31"/>
    <w:rsid w:val="008278A2"/>
    <w:rsid w:val="00830BED"/>
    <w:rsid w:val="00836C44"/>
    <w:rsid w:val="0083754E"/>
    <w:rsid w:val="00837660"/>
    <w:rsid w:val="00840A11"/>
    <w:rsid w:val="008450F8"/>
    <w:rsid w:val="00845E55"/>
    <w:rsid w:val="00846391"/>
    <w:rsid w:val="008541B3"/>
    <w:rsid w:val="0085423E"/>
    <w:rsid w:val="008602F7"/>
    <w:rsid w:val="00861C5F"/>
    <w:rsid w:val="008626D8"/>
    <w:rsid w:val="00864950"/>
    <w:rsid w:val="00870861"/>
    <w:rsid w:val="00884BE6"/>
    <w:rsid w:val="0088503C"/>
    <w:rsid w:val="00885D92"/>
    <w:rsid w:val="008864B1"/>
    <w:rsid w:val="00892723"/>
    <w:rsid w:val="00893454"/>
    <w:rsid w:val="00895D05"/>
    <w:rsid w:val="0089739E"/>
    <w:rsid w:val="00897A25"/>
    <w:rsid w:val="008A0A78"/>
    <w:rsid w:val="008A1A84"/>
    <w:rsid w:val="008A6143"/>
    <w:rsid w:val="008B0529"/>
    <w:rsid w:val="008B30F5"/>
    <w:rsid w:val="008B5C74"/>
    <w:rsid w:val="008C2308"/>
    <w:rsid w:val="008C43EE"/>
    <w:rsid w:val="008C60E9"/>
    <w:rsid w:val="008C7836"/>
    <w:rsid w:val="008D7BED"/>
    <w:rsid w:val="008E4413"/>
    <w:rsid w:val="008E4684"/>
    <w:rsid w:val="008E4F84"/>
    <w:rsid w:val="008E7B94"/>
    <w:rsid w:val="008F0177"/>
    <w:rsid w:val="008F08D9"/>
    <w:rsid w:val="008F1346"/>
    <w:rsid w:val="008F540C"/>
    <w:rsid w:val="008F7D93"/>
    <w:rsid w:val="0090512F"/>
    <w:rsid w:val="0090524D"/>
    <w:rsid w:val="009064E9"/>
    <w:rsid w:val="009076E4"/>
    <w:rsid w:val="00911B1A"/>
    <w:rsid w:val="00916F35"/>
    <w:rsid w:val="009206C3"/>
    <w:rsid w:val="00925B2A"/>
    <w:rsid w:val="00931702"/>
    <w:rsid w:val="00931918"/>
    <w:rsid w:val="00932F29"/>
    <w:rsid w:val="00935A68"/>
    <w:rsid w:val="00937FBD"/>
    <w:rsid w:val="00945858"/>
    <w:rsid w:val="009514EA"/>
    <w:rsid w:val="00951CC5"/>
    <w:rsid w:val="00952F41"/>
    <w:rsid w:val="0095378B"/>
    <w:rsid w:val="0095392E"/>
    <w:rsid w:val="00957EF1"/>
    <w:rsid w:val="00964105"/>
    <w:rsid w:val="00970A06"/>
    <w:rsid w:val="0097133C"/>
    <w:rsid w:val="00972528"/>
    <w:rsid w:val="009725DD"/>
    <w:rsid w:val="0097539D"/>
    <w:rsid w:val="009767AC"/>
    <w:rsid w:val="00980E79"/>
    <w:rsid w:val="00981135"/>
    <w:rsid w:val="00981F04"/>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4CC8"/>
    <w:rsid w:val="009E520A"/>
    <w:rsid w:val="009E7AFD"/>
    <w:rsid w:val="009F20D3"/>
    <w:rsid w:val="00A079A7"/>
    <w:rsid w:val="00A165D9"/>
    <w:rsid w:val="00A17573"/>
    <w:rsid w:val="00A1781C"/>
    <w:rsid w:val="00A210B9"/>
    <w:rsid w:val="00A22FB6"/>
    <w:rsid w:val="00A2310D"/>
    <w:rsid w:val="00A25AEB"/>
    <w:rsid w:val="00A277B2"/>
    <w:rsid w:val="00A313BC"/>
    <w:rsid w:val="00A320FB"/>
    <w:rsid w:val="00A3540D"/>
    <w:rsid w:val="00A401A4"/>
    <w:rsid w:val="00A446A0"/>
    <w:rsid w:val="00A4504D"/>
    <w:rsid w:val="00A45196"/>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07A"/>
    <w:rsid w:val="00A965FE"/>
    <w:rsid w:val="00A97CB6"/>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368"/>
    <w:rsid w:val="00AF5AD3"/>
    <w:rsid w:val="00B00782"/>
    <w:rsid w:val="00B0589A"/>
    <w:rsid w:val="00B14BC8"/>
    <w:rsid w:val="00B1707D"/>
    <w:rsid w:val="00B20823"/>
    <w:rsid w:val="00B20C57"/>
    <w:rsid w:val="00B21D87"/>
    <w:rsid w:val="00B22ADA"/>
    <w:rsid w:val="00B24E76"/>
    <w:rsid w:val="00B334B9"/>
    <w:rsid w:val="00B36208"/>
    <w:rsid w:val="00B3769C"/>
    <w:rsid w:val="00B40D30"/>
    <w:rsid w:val="00B426E8"/>
    <w:rsid w:val="00B42B91"/>
    <w:rsid w:val="00B44E82"/>
    <w:rsid w:val="00B478AC"/>
    <w:rsid w:val="00B52A74"/>
    <w:rsid w:val="00B55D9A"/>
    <w:rsid w:val="00B5661F"/>
    <w:rsid w:val="00B6099D"/>
    <w:rsid w:val="00B62514"/>
    <w:rsid w:val="00B65101"/>
    <w:rsid w:val="00B7370C"/>
    <w:rsid w:val="00B73955"/>
    <w:rsid w:val="00B75741"/>
    <w:rsid w:val="00B7604A"/>
    <w:rsid w:val="00B822A0"/>
    <w:rsid w:val="00B8405C"/>
    <w:rsid w:val="00B8446C"/>
    <w:rsid w:val="00B87550"/>
    <w:rsid w:val="00B92920"/>
    <w:rsid w:val="00B93A4D"/>
    <w:rsid w:val="00B943D6"/>
    <w:rsid w:val="00BA0D2D"/>
    <w:rsid w:val="00BA47FD"/>
    <w:rsid w:val="00BA5EFD"/>
    <w:rsid w:val="00BB2B4D"/>
    <w:rsid w:val="00BB4346"/>
    <w:rsid w:val="00BB43B8"/>
    <w:rsid w:val="00BB53AC"/>
    <w:rsid w:val="00BB5C16"/>
    <w:rsid w:val="00BB7338"/>
    <w:rsid w:val="00BC2884"/>
    <w:rsid w:val="00BC2D24"/>
    <w:rsid w:val="00BC577A"/>
    <w:rsid w:val="00BD0905"/>
    <w:rsid w:val="00BD401A"/>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D542B"/>
    <w:rsid w:val="00CD64EF"/>
    <w:rsid w:val="00CE0386"/>
    <w:rsid w:val="00CF0031"/>
    <w:rsid w:val="00CF0C66"/>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0EF3"/>
    <w:rsid w:val="00D7306B"/>
    <w:rsid w:val="00D73201"/>
    <w:rsid w:val="00D7328C"/>
    <w:rsid w:val="00D73647"/>
    <w:rsid w:val="00D8307F"/>
    <w:rsid w:val="00D8465F"/>
    <w:rsid w:val="00D85B5D"/>
    <w:rsid w:val="00D8735F"/>
    <w:rsid w:val="00D9005C"/>
    <w:rsid w:val="00D90F93"/>
    <w:rsid w:val="00D91F54"/>
    <w:rsid w:val="00D93835"/>
    <w:rsid w:val="00D93AE3"/>
    <w:rsid w:val="00D9442D"/>
    <w:rsid w:val="00D94F8B"/>
    <w:rsid w:val="00D95235"/>
    <w:rsid w:val="00D9763F"/>
    <w:rsid w:val="00DA42E1"/>
    <w:rsid w:val="00DA66C3"/>
    <w:rsid w:val="00DA702C"/>
    <w:rsid w:val="00DB5E7F"/>
    <w:rsid w:val="00DC176A"/>
    <w:rsid w:val="00DD0C2C"/>
    <w:rsid w:val="00DD0F6E"/>
    <w:rsid w:val="00DD1C07"/>
    <w:rsid w:val="00DD4BF9"/>
    <w:rsid w:val="00DE0E3E"/>
    <w:rsid w:val="00DE2633"/>
    <w:rsid w:val="00DF1AE6"/>
    <w:rsid w:val="00DF6907"/>
    <w:rsid w:val="00E00445"/>
    <w:rsid w:val="00E014A2"/>
    <w:rsid w:val="00E038CE"/>
    <w:rsid w:val="00E03F11"/>
    <w:rsid w:val="00E0463C"/>
    <w:rsid w:val="00E077C9"/>
    <w:rsid w:val="00E11C02"/>
    <w:rsid w:val="00E21128"/>
    <w:rsid w:val="00E21AB4"/>
    <w:rsid w:val="00E224FC"/>
    <w:rsid w:val="00E31F57"/>
    <w:rsid w:val="00E32C2E"/>
    <w:rsid w:val="00E336C5"/>
    <w:rsid w:val="00E34794"/>
    <w:rsid w:val="00E41279"/>
    <w:rsid w:val="00E420B6"/>
    <w:rsid w:val="00E502C4"/>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B2153"/>
    <w:rsid w:val="00EB3465"/>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0ACB"/>
    <w:rsid w:val="00F23155"/>
    <w:rsid w:val="00F26554"/>
    <w:rsid w:val="00F30653"/>
    <w:rsid w:val="00F30A1D"/>
    <w:rsid w:val="00F3413D"/>
    <w:rsid w:val="00F37710"/>
    <w:rsid w:val="00F63B69"/>
    <w:rsid w:val="00F7184A"/>
    <w:rsid w:val="00F77EB0"/>
    <w:rsid w:val="00F81AC1"/>
    <w:rsid w:val="00F83415"/>
    <w:rsid w:val="00F91D30"/>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4C1"/>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1">
    <w:name w:val="Unresolved Mention1"/>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apple-converted-space">
    <w:name w:val="apple-converted-space"/>
    <w:rsid w:val="00A45196"/>
  </w:style>
  <w:style w:type="table" w:styleId="GridTable5Dark">
    <w:name w:val="Grid Table 5 Dark"/>
    <w:basedOn w:val="TableNormal"/>
    <w:uiPriority w:val="50"/>
    <w:rsid w:val="00CD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6778F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basedOn w:val="DefaultParagraphFont"/>
    <w:link w:val="ListParagraph"/>
    <w:uiPriority w:val="1"/>
    <w:rsid w:val="006045E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286912">
      <w:bodyDiv w:val="1"/>
      <w:marLeft w:val="0"/>
      <w:marRight w:val="0"/>
      <w:marTop w:val="0"/>
      <w:marBottom w:val="0"/>
      <w:divBdr>
        <w:top w:val="none" w:sz="0" w:space="0" w:color="auto"/>
        <w:left w:val="none" w:sz="0" w:space="0" w:color="auto"/>
        <w:bottom w:val="none" w:sz="0" w:space="0" w:color="auto"/>
        <w:right w:val="none" w:sz="0" w:space="0" w:color="auto"/>
      </w:divBdr>
    </w:div>
    <w:div w:id="255287736">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505366036">
      <w:bodyDiv w:val="1"/>
      <w:marLeft w:val="0"/>
      <w:marRight w:val="0"/>
      <w:marTop w:val="0"/>
      <w:marBottom w:val="0"/>
      <w:divBdr>
        <w:top w:val="none" w:sz="0" w:space="0" w:color="auto"/>
        <w:left w:val="none" w:sz="0" w:space="0" w:color="auto"/>
        <w:bottom w:val="none" w:sz="0" w:space="0" w:color="auto"/>
        <w:right w:val="none" w:sz="0" w:space="0" w:color="auto"/>
      </w:divBdr>
    </w:div>
    <w:div w:id="577902650">
      <w:bodyDiv w:val="1"/>
      <w:marLeft w:val="0"/>
      <w:marRight w:val="0"/>
      <w:marTop w:val="0"/>
      <w:marBottom w:val="0"/>
      <w:divBdr>
        <w:top w:val="none" w:sz="0" w:space="0" w:color="auto"/>
        <w:left w:val="none" w:sz="0" w:space="0" w:color="auto"/>
        <w:bottom w:val="none" w:sz="0" w:space="0" w:color="auto"/>
        <w:right w:val="none" w:sz="0" w:space="0" w:color="auto"/>
      </w:divBdr>
    </w:div>
    <w:div w:id="585268007">
      <w:bodyDiv w:val="1"/>
      <w:marLeft w:val="0"/>
      <w:marRight w:val="0"/>
      <w:marTop w:val="0"/>
      <w:marBottom w:val="0"/>
      <w:divBdr>
        <w:top w:val="none" w:sz="0" w:space="0" w:color="auto"/>
        <w:left w:val="none" w:sz="0" w:space="0" w:color="auto"/>
        <w:bottom w:val="none" w:sz="0" w:space="0" w:color="auto"/>
        <w:right w:val="none" w:sz="0" w:space="0" w:color="auto"/>
      </w:divBdr>
    </w:div>
    <w:div w:id="638344824">
      <w:bodyDiv w:val="1"/>
      <w:marLeft w:val="0"/>
      <w:marRight w:val="0"/>
      <w:marTop w:val="0"/>
      <w:marBottom w:val="0"/>
      <w:divBdr>
        <w:top w:val="none" w:sz="0" w:space="0" w:color="auto"/>
        <w:left w:val="none" w:sz="0" w:space="0" w:color="auto"/>
        <w:bottom w:val="none" w:sz="0" w:space="0" w:color="auto"/>
        <w:right w:val="none" w:sz="0" w:space="0" w:color="auto"/>
      </w:divBdr>
    </w:div>
    <w:div w:id="78873909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1583465">
      <w:bodyDiv w:val="1"/>
      <w:marLeft w:val="0"/>
      <w:marRight w:val="0"/>
      <w:marTop w:val="0"/>
      <w:marBottom w:val="0"/>
      <w:divBdr>
        <w:top w:val="none" w:sz="0" w:space="0" w:color="auto"/>
        <w:left w:val="none" w:sz="0" w:space="0" w:color="auto"/>
        <w:bottom w:val="none" w:sz="0" w:space="0" w:color="auto"/>
        <w:right w:val="none" w:sz="0" w:space="0" w:color="auto"/>
      </w:divBdr>
    </w:div>
    <w:div w:id="209250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9E9F2-E6A6-4645-9832-26B680F0EE0D}">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http://schemas.microsoft.com/office/2006/metadata/properties"/>
    <ds:schemaRef ds:uri="http://www.w3.org/XML/1998/namespace"/>
    <ds:schemaRef ds:uri="http://schemas.microsoft.com/office/infopath/2007/PartnerControls"/>
    <ds:schemaRef ds:uri="878f5c59-aec9-459c-acf8-8cf941473193"/>
    <ds:schemaRef ds:uri="bdd78157-346c-4767-bfdd-352789a5c5f1"/>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1213</Words>
  <Characters>6861</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2021-02-06T22:38:00Z</dcterms:created>
  <dcterms:modified xsi:type="dcterms:W3CDTF">2021-02-08T21:58:00Z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